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FE9" w:rsidRPr="00631120" w:rsidRDefault="00D31FE9" w:rsidP="00D31FE9">
      <w:pPr>
        <w:spacing w:line="360" w:lineRule="auto"/>
        <w:jc w:val="center"/>
        <w:rPr>
          <w:rFonts w:ascii="Altivo Light" w:hAnsi="Altivo Light" w:cs="Arial"/>
          <w:b/>
          <w:sz w:val="20"/>
          <w:szCs w:val="20"/>
        </w:rPr>
      </w:pPr>
      <w:r w:rsidRPr="00631120">
        <w:rPr>
          <w:rFonts w:ascii="Altivo Light" w:hAnsi="Altivo Light" w:cs="Arial"/>
          <w:b/>
          <w:sz w:val="20"/>
          <w:szCs w:val="20"/>
        </w:rPr>
        <w:t>ACUERDO INTERNO SGV</w:t>
      </w:r>
      <w:r w:rsidR="004F1CC9" w:rsidRPr="00631120">
        <w:rPr>
          <w:rFonts w:ascii="Altivo Light" w:hAnsi="Altivo Light" w:cs="Arial"/>
          <w:b/>
          <w:sz w:val="20"/>
          <w:szCs w:val="20"/>
        </w:rPr>
        <w:t>-</w:t>
      </w:r>
      <w:r w:rsidR="00631120" w:rsidRPr="00631120">
        <w:rPr>
          <w:rFonts w:ascii="Altivo Light" w:hAnsi="Altivo Light" w:cs="Arial"/>
          <w:b/>
          <w:sz w:val="20"/>
          <w:szCs w:val="20"/>
        </w:rPr>
        <w:t>16</w:t>
      </w:r>
      <w:r w:rsidRPr="00631120">
        <w:rPr>
          <w:rFonts w:ascii="Altivo Light" w:hAnsi="Altivo Light" w:cs="Arial"/>
          <w:b/>
          <w:sz w:val="20"/>
          <w:szCs w:val="20"/>
        </w:rPr>
        <w:t>-</w:t>
      </w:r>
      <w:r w:rsidR="003D3363" w:rsidRPr="00631120">
        <w:rPr>
          <w:rFonts w:ascii="Altivo Light" w:hAnsi="Altivo Light" w:cs="Arial"/>
          <w:b/>
          <w:sz w:val="20"/>
          <w:szCs w:val="20"/>
        </w:rPr>
        <w:t>2025</w:t>
      </w:r>
    </w:p>
    <w:p w:rsidR="00D31FE9" w:rsidRPr="00631120" w:rsidRDefault="00D31FE9" w:rsidP="00D31FE9">
      <w:pPr>
        <w:spacing w:line="360" w:lineRule="auto"/>
        <w:jc w:val="center"/>
        <w:rPr>
          <w:rFonts w:ascii="Altivo Light" w:hAnsi="Altivo Light" w:cs="Arial"/>
          <w:sz w:val="20"/>
          <w:szCs w:val="20"/>
        </w:rPr>
      </w:pPr>
      <w:r w:rsidRPr="00631120">
        <w:rPr>
          <w:rFonts w:ascii="Altivo Light" w:hAnsi="Altivo Light" w:cs="Arial"/>
          <w:sz w:val="20"/>
          <w:szCs w:val="20"/>
        </w:rPr>
        <w:t xml:space="preserve">Guatemala, </w:t>
      </w:r>
      <w:r w:rsidR="00631120" w:rsidRPr="00631120">
        <w:rPr>
          <w:rFonts w:ascii="Altivo Light" w:hAnsi="Altivo Light" w:cs="Arial"/>
          <w:sz w:val="20"/>
          <w:szCs w:val="20"/>
        </w:rPr>
        <w:t>13</w:t>
      </w:r>
      <w:r w:rsidR="00A27811" w:rsidRPr="00631120">
        <w:rPr>
          <w:rFonts w:ascii="Altivo Light" w:hAnsi="Altivo Light" w:cs="Arial"/>
          <w:sz w:val="20"/>
          <w:szCs w:val="20"/>
        </w:rPr>
        <w:t xml:space="preserve"> </w:t>
      </w:r>
      <w:r w:rsidRPr="00631120">
        <w:rPr>
          <w:rFonts w:ascii="Altivo Light" w:hAnsi="Altivo Light" w:cs="Arial"/>
          <w:sz w:val="20"/>
          <w:szCs w:val="20"/>
        </w:rPr>
        <w:t xml:space="preserve">de </w:t>
      </w:r>
      <w:r w:rsidR="00631120" w:rsidRPr="00631120">
        <w:rPr>
          <w:rFonts w:ascii="Altivo Light" w:hAnsi="Altivo Light" w:cs="Arial"/>
          <w:sz w:val="20"/>
          <w:szCs w:val="20"/>
        </w:rPr>
        <w:t>mayo</w:t>
      </w:r>
      <w:r w:rsidRPr="00631120">
        <w:rPr>
          <w:rFonts w:ascii="Altivo Light" w:hAnsi="Altivo Light" w:cs="Arial"/>
          <w:sz w:val="20"/>
          <w:szCs w:val="20"/>
        </w:rPr>
        <w:t xml:space="preserve"> de 2025.</w:t>
      </w:r>
    </w:p>
    <w:p w:rsidR="00D31FE9" w:rsidRPr="00631120" w:rsidRDefault="00D31FE9" w:rsidP="00D31FE9">
      <w:pPr>
        <w:pStyle w:val="Sinespaciado"/>
        <w:spacing w:line="360" w:lineRule="auto"/>
        <w:rPr>
          <w:rFonts w:ascii="Altivo Light" w:hAnsi="Altivo Light" w:cs="Arial"/>
          <w:sz w:val="20"/>
          <w:szCs w:val="20"/>
        </w:rPr>
      </w:pPr>
    </w:p>
    <w:p w:rsidR="00D31FE9" w:rsidRPr="00631120" w:rsidRDefault="00D31FE9" w:rsidP="004F1CC9">
      <w:pPr>
        <w:jc w:val="center"/>
        <w:rPr>
          <w:rFonts w:ascii="Altivo Light" w:hAnsi="Altivo Light" w:cs="Arial"/>
          <w:sz w:val="20"/>
          <w:szCs w:val="20"/>
        </w:rPr>
      </w:pPr>
      <w:r w:rsidRPr="00631120">
        <w:rPr>
          <w:rFonts w:ascii="Altivo Light" w:hAnsi="Altivo Light" w:cs="Arial"/>
          <w:b/>
          <w:sz w:val="20"/>
          <w:szCs w:val="20"/>
        </w:rPr>
        <w:t>LA SECRETARÍA GENERAL DE LA VICEPRESIDENCIA DE LA REPÚBLICA</w:t>
      </w:r>
    </w:p>
    <w:p w:rsidR="00D31FE9" w:rsidRPr="00631120" w:rsidRDefault="00D31FE9" w:rsidP="004F1CC9">
      <w:pPr>
        <w:pStyle w:val="Sinespaciado"/>
        <w:rPr>
          <w:rFonts w:ascii="Altivo Light" w:hAnsi="Altivo Light" w:cs="Arial"/>
          <w:sz w:val="20"/>
          <w:szCs w:val="20"/>
        </w:rPr>
      </w:pPr>
    </w:p>
    <w:p w:rsidR="00D31FE9" w:rsidRPr="00631120" w:rsidRDefault="00D31FE9" w:rsidP="004F1CC9">
      <w:pPr>
        <w:jc w:val="center"/>
        <w:rPr>
          <w:rFonts w:ascii="Altivo Light" w:hAnsi="Altivo Light" w:cs="Arial"/>
          <w:b/>
          <w:sz w:val="20"/>
          <w:szCs w:val="20"/>
        </w:rPr>
      </w:pPr>
      <w:r w:rsidRPr="00631120">
        <w:rPr>
          <w:rFonts w:ascii="Altivo Light" w:hAnsi="Altivo Light" w:cs="Arial"/>
          <w:b/>
          <w:sz w:val="20"/>
          <w:szCs w:val="20"/>
        </w:rPr>
        <w:t>CONSIDERANDO</w:t>
      </w:r>
    </w:p>
    <w:p w:rsidR="00631120" w:rsidRPr="00631120" w:rsidRDefault="00631120" w:rsidP="00631120">
      <w:pPr>
        <w:spacing w:line="360" w:lineRule="auto"/>
        <w:jc w:val="both"/>
        <w:rPr>
          <w:rFonts w:ascii="Altivo Light" w:hAnsi="Altivo Light" w:cs="Arial"/>
          <w:sz w:val="20"/>
          <w:szCs w:val="20"/>
        </w:rPr>
      </w:pPr>
      <w:r w:rsidRPr="00631120">
        <w:rPr>
          <w:rFonts w:ascii="Altivo Light" w:hAnsi="Altivo Light" w:cs="Arial"/>
          <w:sz w:val="20"/>
          <w:szCs w:val="20"/>
        </w:rPr>
        <w:t>Que  de conformidad con el Acuerdo Gubernativo número 260-2013, de fecha veintisiete de junio de dos mil trece, reformado por el Acuerdo Gubernativo 63-2024 de fecha veintitrés de abril de dos mil veinticuatro, establece la obligación de todos los órganos del Organismo Ejecutivo de implementar dentro de su estructura organizativa, adscrita al Despacho Superior de la Autoridad Máxima, una Unidad de Género como una instancia de asistencia, coordinación y asesoría para la implementación y el seguimiento de políticas públicas vinculadas con los derechos de las mujeres, el empoderamiento, y el desarrollo integral de las mujeres.</w:t>
      </w:r>
    </w:p>
    <w:p w:rsidR="00D31FE9" w:rsidRPr="00631120" w:rsidRDefault="00D31FE9" w:rsidP="00631120">
      <w:pPr>
        <w:spacing w:line="360" w:lineRule="auto"/>
        <w:jc w:val="center"/>
        <w:rPr>
          <w:rFonts w:ascii="Altivo Light" w:hAnsi="Altivo Light" w:cs="Arial"/>
          <w:b/>
          <w:sz w:val="20"/>
          <w:szCs w:val="20"/>
        </w:rPr>
      </w:pPr>
      <w:r w:rsidRPr="00631120">
        <w:rPr>
          <w:rFonts w:ascii="Altivo Light" w:hAnsi="Altivo Light" w:cs="Arial"/>
          <w:b/>
          <w:sz w:val="20"/>
          <w:szCs w:val="20"/>
        </w:rPr>
        <w:t>CONSIDERANDO</w:t>
      </w:r>
    </w:p>
    <w:p w:rsidR="004F1CC9" w:rsidRPr="00631120" w:rsidRDefault="00631120" w:rsidP="00631120">
      <w:pPr>
        <w:spacing w:line="360" w:lineRule="auto"/>
        <w:jc w:val="both"/>
        <w:rPr>
          <w:rFonts w:ascii="Altivo Light" w:hAnsi="Altivo Light" w:cs="Arial"/>
          <w:b/>
          <w:sz w:val="20"/>
          <w:szCs w:val="20"/>
        </w:rPr>
      </w:pPr>
      <w:r w:rsidRPr="00631120">
        <w:rPr>
          <w:rFonts w:ascii="Altivo Light" w:hAnsi="Altivo Light" w:cs="Arial"/>
          <w:sz w:val="20"/>
          <w:szCs w:val="20"/>
        </w:rPr>
        <w:t>Que mediante Acuerdo Interno número SGV-12-2024 de fecha veinticinco de septiembre de dos mil veinticuatro, la Vicepresidencia de la República conformó el Comité Temporal para la Implementación de la Unidad de Género, documento que fue modificado a través del Acuerdo Interno número SGV-07-2025 de fecha veintiocho de enero de dos mil veinticinco, mismo que deberá ser modificado en cuanto a su integración, todo con el objetivo de darle seguimientos a las acciones pertinentes que permitan cumplir con la Implementación de la Unidad de Género en la Vicepresidencia de la República.</w:t>
      </w:r>
    </w:p>
    <w:p w:rsidR="00D31FE9" w:rsidRPr="00631120" w:rsidRDefault="00D31FE9" w:rsidP="00D31FE9">
      <w:pPr>
        <w:spacing w:line="360" w:lineRule="auto"/>
        <w:jc w:val="center"/>
        <w:rPr>
          <w:rFonts w:ascii="Altivo Light" w:hAnsi="Altivo Light" w:cs="Arial"/>
          <w:b/>
          <w:sz w:val="20"/>
          <w:szCs w:val="20"/>
        </w:rPr>
      </w:pPr>
      <w:r w:rsidRPr="00631120">
        <w:rPr>
          <w:rFonts w:ascii="Altivo Light" w:hAnsi="Altivo Light" w:cs="Arial"/>
          <w:b/>
          <w:sz w:val="20"/>
          <w:szCs w:val="20"/>
        </w:rPr>
        <w:t>POR TANTO</w:t>
      </w:r>
    </w:p>
    <w:p w:rsidR="00631120" w:rsidRPr="00631120" w:rsidRDefault="00631120" w:rsidP="00631120">
      <w:pPr>
        <w:spacing w:line="360" w:lineRule="auto"/>
        <w:jc w:val="both"/>
        <w:rPr>
          <w:rFonts w:ascii="Altivo Light" w:hAnsi="Altivo Light" w:cs="Arial"/>
          <w:sz w:val="20"/>
          <w:szCs w:val="20"/>
        </w:rPr>
      </w:pPr>
      <w:r w:rsidRPr="00631120">
        <w:rPr>
          <w:rFonts w:ascii="Altivo Light" w:hAnsi="Altivo Light" w:cs="Arial"/>
          <w:sz w:val="20"/>
          <w:szCs w:val="20"/>
        </w:rPr>
        <w:t xml:space="preserve">En cumplimiento de sus atribuciones y de lo establecido en los artículos 2, 4 y 154 de la Constitución Política de la República de Guatemala; </w:t>
      </w:r>
    </w:p>
    <w:p w:rsidR="00631120" w:rsidRDefault="00631120" w:rsidP="00D31FE9">
      <w:pPr>
        <w:spacing w:line="360" w:lineRule="auto"/>
        <w:jc w:val="center"/>
        <w:rPr>
          <w:rFonts w:ascii="Altivo Light" w:hAnsi="Altivo Light" w:cs="Arial"/>
          <w:b/>
          <w:sz w:val="20"/>
          <w:szCs w:val="20"/>
        </w:rPr>
      </w:pPr>
    </w:p>
    <w:p w:rsidR="00D31FE9" w:rsidRPr="00631120" w:rsidRDefault="00D31FE9" w:rsidP="00D31FE9">
      <w:pPr>
        <w:spacing w:line="360" w:lineRule="auto"/>
        <w:jc w:val="center"/>
        <w:rPr>
          <w:rFonts w:ascii="Altivo Light" w:hAnsi="Altivo Light" w:cs="Arial"/>
          <w:b/>
          <w:sz w:val="20"/>
          <w:szCs w:val="20"/>
        </w:rPr>
      </w:pPr>
      <w:r w:rsidRPr="00631120">
        <w:rPr>
          <w:rFonts w:ascii="Altivo Light" w:hAnsi="Altivo Light" w:cs="Arial"/>
          <w:b/>
          <w:sz w:val="20"/>
          <w:szCs w:val="20"/>
        </w:rPr>
        <w:t>ACUERDA</w:t>
      </w:r>
    </w:p>
    <w:p w:rsidR="00631120" w:rsidRPr="00631120" w:rsidRDefault="00631120" w:rsidP="00631120">
      <w:pPr>
        <w:pStyle w:val="Sinespaciado"/>
        <w:spacing w:line="360" w:lineRule="auto"/>
        <w:jc w:val="both"/>
        <w:rPr>
          <w:rFonts w:ascii="Altivo Light" w:hAnsi="Altivo Light" w:cs="Arial"/>
          <w:sz w:val="20"/>
          <w:szCs w:val="20"/>
        </w:rPr>
      </w:pPr>
      <w:r w:rsidRPr="00631120">
        <w:rPr>
          <w:rFonts w:ascii="Altivo Light" w:hAnsi="Altivo Light" w:cs="Arial"/>
          <w:b/>
          <w:sz w:val="20"/>
          <w:szCs w:val="20"/>
        </w:rPr>
        <w:t>Artículo 1.</w:t>
      </w:r>
      <w:r w:rsidRPr="00631120">
        <w:rPr>
          <w:rFonts w:ascii="Altivo Light" w:hAnsi="Altivo Light" w:cs="Arial"/>
          <w:sz w:val="20"/>
          <w:szCs w:val="20"/>
        </w:rPr>
        <w:t xml:space="preserve">  Se modifica el artículo 1 del Acuerdo Interno SGV-07-2025, de fecha veinticinco de enero de dos mil veinticinco, en el sentido que, se sustituye en la integración del Comité Temporal, al Licenciado Juan Antonio Quezada Gaitán, por la Licenciada Hilda Elizabeth Pineda García.</w:t>
      </w:r>
    </w:p>
    <w:p w:rsidR="00631120" w:rsidRPr="00631120" w:rsidRDefault="00631120" w:rsidP="00631120">
      <w:pPr>
        <w:pStyle w:val="Sinespaciado"/>
        <w:spacing w:line="360" w:lineRule="auto"/>
        <w:jc w:val="both"/>
        <w:rPr>
          <w:rFonts w:ascii="Altivo Light" w:hAnsi="Altivo Light" w:cs="Arial"/>
          <w:sz w:val="20"/>
          <w:szCs w:val="20"/>
        </w:rPr>
      </w:pPr>
      <w:r w:rsidRPr="00631120">
        <w:rPr>
          <w:rFonts w:ascii="Altivo Light" w:hAnsi="Altivo Light" w:cs="Arial"/>
          <w:b/>
          <w:sz w:val="20"/>
          <w:szCs w:val="20"/>
        </w:rPr>
        <w:t>Artículo 2.</w:t>
      </w:r>
      <w:r w:rsidRPr="00631120">
        <w:rPr>
          <w:rFonts w:ascii="Altivo Light" w:hAnsi="Altivo Light" w:cs="Arial"/>
          <w:sz w:val="20"/>
          <w:szCs w:val="20"/>
        </w:rPr>
        <w:t xml:space="preserve"> El presente Acuerdo Interno entra en vigencia inmediatamente, debiendo notificarse a los integrantes del Comité Temporal y al Licenciado Juan Antonio Quezada Gaitán, y publicarse en la página oficial de la Vicepresidencia de la República.</w:t>
      </w:r>
    </w:p>
    <w:p w:rsidR="00631120" w:rsidRDefault="00631120" w:rsidP="00631120">
      <w:pPr>
        <w:pStyle w:val="Sinespaciado"/>
        <w:spacing w:line="360" w:lineRule="auto"/>
        <w:jc w:val="center"/>
        <w:rPr>
          <w:rFonts w:ascii="Altivo Light" w:hAnsi="Altivo Light"/>
          <w:b/>
          <w:sz w:val="20"/>
          <w:szCs w:val="20"/>
        </w:rPr>
      </w:pPr>
    </w:p>
    <w:p w:rsidR="00A27811" w:rsidRPr="00631120" w:rsidRDefault="00A27811" w:rsidP="00631120">
      <w:pPr>
        <w:pStyle w:val="Sinespaciado"/>
        <w:spacing w:line="360" w:lineRule="auto"/>
        <w:jc w:val="center"/>
        <w:rPr>
          <w:rFonts w:ascii="Altivo Light" w:hAnsi="Altivo Light"/>
          <w:b/>
          <w:sz w:val="20"/>
          <w:szCs w:val="20"/>
        </w:rPr>
      </w:pPr>
      <w:bookmarkStart w:id="0" w:name="_GoBack"/>
      <w:bookmarkEnd w:id="0"/>
      <w:r w:rsidRPr="00631120">
        <w:rPr>
          <w:rFonts w:ascii="Altivo Light" w:hAnsi="Altivo Light"/>
          <w:b/>
          <w:sz w:val="20"/>
          <w:szCs w:val="20"/>
        </w:rPr>
        <w:t>COMUNÍQUESE</w:t>
      </w:r>
      <w:r w:rsidR="00631120" w:rsidRPr="00631120">
        <w:rPr>
          <w:rFonts w:ascii="Altivo Light" w:hAnsi="Altivo Light"/>
          <w:b/>
          <w:sz w:val="20"/>
          <w:szCs w:val="20"/>
        </w:rPr>
        <w:t>,</w:t>
      </w:r>
    </w:p>
    <w:p w:rsidR="002E32DE" w:rsidRPr="00631120" w:rsidRDefault="002E32DE" w:rsidP="00B35736">
      <w:pPr>
        <w:jc w:val="both"/>
        <w:rPr>
          <w:rFonts w:ascii="Altivo Light" w:hAnsi="Altivo Light"/>
          <w:sz w:val="20"/>
          <w:szCs w:val="20"/>
        </w:rPr>
      </w:pPr>
    </w:p>
    <w:sectPr w:rsidR="002E32DE" w:rsidRPr="00631120" w:rsidSect="005055BF">
      <w:headerReference w:type="default" r:id="rId7"/>
      <w:footerReference w:type="default" r:id="rId8"/>
      <w:pgSz w:w="12240" w:h="1872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EF" w:rsidRDefault="006232EF" w:rsidP="00184C47">
      <w:r>
        <w:separator/>
      </w:r>
    </w:p>
  </w:endnote>
  <w:endnote w:type="continuationSeparator" w:id="0">
    <w:p w:rsidR="006232EF" w:rsidRDefault="006232EF" w:rsidP="001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243953"/>
      <w:docPartObj>
        <w:docPartGallery w:val="Page Numbers (Bottom of Page)"/>
        <w:docPartUnique/>
      </w:docPartObj>
    </w:sdtPr>
    <w:sdtEndPr/>
    <w:sdtContent>
      <w:p w:rsidR="007B246E" w:rsidRDefault="007B246E" w:rsidP="007B246E">
        <w:pPr>
          <w:pStyle w:val="Piedepgina"/>
          <w:jc w:val="right"/>
        </w:pPr>
        <w:r>
          <w:rPr>
            <w:noProof/>
          </w:rPr>
          <w:drawing>
            <wp:anchor distT="0" distB="0" distL="114300" distR="114300" simplePos="0" relativeHeight="251660288" behindDoc="1" locked="0" layoutInCell="1" allowOverlap="1" wp14:anchorId="533E9570" wp14:editId="22F7D98F">
              <wp:simplePos x="0" y="0"/>
              <wp:positionH relativeFrom="margin">
                <wp:posOffset>-151841</wp:posOffset>
              </wp:positionH>
              <wp:positionV relativeFrom="paragraph">
                <wp:posOffset>12065</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184C47">
          <w:rPr>
            <w:noProof/>
            <w:lang w:eastAsia="es-GT"/>
          </w:rPr>
          <mc:AlternateContent>
            <mc:Choice Requires="wps">
              <w:drawing>
                <wp:anchor distT="0" distB="0" distL="114300" distR="114300" simplePos="0" relativeHeight="251659264" behindDoc="0" locked="0" layoutInCell="1" allowOverlap="1" wp14:anchorId="1961FDB2" wp14:editId="5F4E58B9">
                  <wp:simplePos x="0" y="0"/>
                  <wp:positionH relativeFrom="margin">
                    <wp:align>left</wp:align>
                  </wp:positionH>
                  <wp:positionV relativeFrom="paragraph">
                    <wp:posOffset>6407</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DB2" id="_x0000_t202" coordsize="21600,21600" o:spt="202" path="m,l,21600r21600,l21600,xe">
                  <v:stroke joinstyle="miter"/>
                  <v:path gradientshapeok="t" o:connecttype="rect"/>
                </v:shapetype>
                <v:shape id="Cuadro de texto 3" o:spid="_x0000_s1026" type="#_x0000_t202" style="position:absolute;left:0;text-align:left;margin-left:0;margin-top:.5pt;width:337.8pt;height:4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" filled="f" stroked="f" strokeweight=".5pt">
                  <v:textbox>
                    <w:txbxContent>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fldChar w:fldCharType="begin"/>
        </w:r>
        <w:r>
          <w:instrText>PAGE   \* MERGEFORMAT</w:instrText>
        </w:r>
        <w:r>
          <w:fldChar w:fldCharType="separate"/>
        </w:r>
        <w:r>
          <w:t>1</w:t>
        </w:r>
        <w:r>
          <w:fldChar w:fldCharType="end"/>
        </w:r>
      </w:p>
    </w:sdtContent>
  </w:sdt>
  <w:p w:rsidR="007B246E" w:rsidRDefault="007B246E" w:rsidP="007B246E">
    <w:pPr>
      <w:pStyle w:val="Piedepgina"/>
    </w:pPr>
  </w:p>
  <w:p w:rsidR="007B246E" w:rsidRDefault="007B24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EF" w:rsidRDefault="006232EF" w:rsidP="00184C47">
      <w:r>
        <w:separator/>
      </w:r>
    </w:p>
  </w:footnote>
  <w:footnote w:type="continuationSeparator" w:id="0">
    <w:p w:rsidR="006232EF" w:rsidRDefault="006232EF" w:rsidP="0018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47" w:rsidRDefault="007B246E">
    <w:pPr>
      <w:pStyle w:val="Encabezado"/>
    </w:pPr>
    <w:r>
      <w:rPr>
        <w:noProof/>
      </w:rPr>
      <w:drawing>
        <wp:inline distT="0" distB="0" distL="0" distR="0" wp14:anchorId="4C7CA49A" wp14:editId="64C3878D">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09570" cy="7025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4789E"/>
    <w:rsid w:val="000B1382"/>
    <w:rsid w:val="000B4821"/>
    <w:rsid w:val="000B4DA1"/>
    <w:rsid w:val="000B6AC9"/>
    <w:rsid w:val="000D06CC"/>
    <w:rsid w:val="00184C47"/>
    <w:rsid w:val="001A20D2"/>
    <w:rsid w:val="001A425D"/>
    <w:rsid w:val="001D172B"/>
    <w:rsid w:val="002226B6"/>
    <w:rsid w:val="00224677"/>
    <w:rsid w:val="00233301"/>
    <w:rsid w:val="0029592D"/>
    <w:rsid w:val="002E32DE"/>
    <w:rsid w:val="002E4A1D"/>
    <w:rsid w:val="00315F30"/>
    <w:rsid w:val="003433F6"/>
    <w:rsid w:val="00356A9B"/>
    <w:rsid w:val="003D3363"/>
    <w:rsid w:val="003D73BC"/>
    <w:rsid w:val="004436F0"/>
    <w:rsid w:val="00460D55"/>
    <w:rsid w:val="004855AC"/>
    <w:rsid w:val="004C5A6F"/>
    <w:rsid w:val="004F1CC9"/>
    <w:rsid w:val="005055BF"/>
    <w:rsid w:val="005232ED"/>
    <w:rsid w:val="00560EA3"/>
    <w:rsid w:val="005628D8"/>
    <w:rsid w:val="005A325D"/>
    <w:rsid w:val="005C0739"/>
    <w:rsid w:val="006232EF"/>
    <w:rsid w:val="00631120"/>
    <w:rsid w:val="006444BD"/>
    <w:rsid w:val="006758E7"/>
    <w:rsid w:val="00683F8D"/>
    <w:rsid w:val="00733C97"/>
    <w:rsid w:val="00754D1B"/>
    <w:rsid w:val="00774230"/>
    <w:rsid w:val="007957EE"/>
    <w:rsid w:val="007B246E"/>
    <w:rsid w:val="007F1533"/>
    <w:rsid w:val="008365DC"/>
    <w:rsid w:val="00837EBA"/>
    <w:rsid w:val="008403F4"/>
    <w:rsid w:val="00841236"/>
    <w:rsid w:val="008A532D"/>
    <w:rsid w:val="009C3DC7"/>
    <w:rsid w:val="009D2EF2"/>
    <w:rsid w:val="00A27811"/>
    <w:rsid w:val="00A64C39"/>
    <w:rsid w:val="00AA14CA"/>
    <w:rsid w:val="00AB3869"/>
    <w:rsid w:val="00B35736"/>
    <w:rsid w:val="00B63FBF"/>
    <w:rsid w:val="00BF01C0"/>
    <w:rsid w:val="00C00A56"/>
    <w:rsid w:val="00C05C38"/>
    <w:rsid w:val="00C2134E"/>
    <w:rsid w:val="00C72CD5"/>
    <w:rsid w:val="00CA7597"/>
    <w:rsid w:val="00CB43B4"/>
    <w:rsid w:val="00CB4705"/>
    <w:rsid w:val="00D31FE9"/>
    <w:rsid w:val="00D7533D"/>
    <w:rsid w:val="00DB361B"/>
    <w:rsid w:val="00DC43DF"/>
    <w:rsid w:val="00DD3DBB"/>
    <w:rsid w:val="00DE6051"/>
    <w:rsid w:val="00E30D47"/>
    <w:rsid w:val="00EE5C67"/>
    <w:rsid w:val="00F449FC"/>
    <w:rsid w:val="00F64559"/>
    <w:rsid w:val="00F666A4"/>
    <w:rsid w:val="00FB1E08"/>
    <w:rsid w:val="00FB28E0"/>
    <w:rsid w:val="00FF5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B2E86"/>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styleId="Prrafodelista">
    <w:name w:val="List Paragraph"/>
    <w:basedOn w:val="Normal"/>
    <w:uiPriority w:val="34"/>
    <w:qFormat/>
    <w:rsid w:val="00DC43DF"/>
    <w:pPr>
      <w:ind w:left="720"/>
      <w:contextualSpacing/>
    </w:pPr>
  </w:style>
  <w:style w:type="paragraph" w:styleId="Textodeglobo">
    <w:name w:val="Balloon Text"/>
    <w:basedOn w:val="Normal"/>
    <w:link w:val="TextodegloboCar"/>
    <w:uiPriority w:val="99"/>
    <w:semiHidden/>
    <w:unhideWhenUsed/>
    <w:rsid w:val="002333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3301"/>
    <w:rPr>
      <w:rFonts w:ascii="Segoe UI" w:hAnsi="Segoe UI" w:cs="Segoe UI"/>
      <w:sz w:val="18"/>
      <w:szCs w:val="18"/>
      <w:lang w:val="es-ES_tradnl"/>
    </w:rPr>
  </w:style>
  <w:style w:type="paragraph" w:styleId="Sinespaciado">
    <w:name w:val="No Spacing"/>
    <w:uiPriority w:val="1"/>
    <w:qFormat/>
    <w:rsid w:val="00D31FE9"/>
    <w:rPr>
      <w:lang w:val="es-ES_tradnl"/>
    </w:rPr>
  </w:style>
  <w:style w:type="table" w:styleId="Tablaconcuadrcula">
    <w:name w:val="Table Grid"/>
    <w:basedOn w:val="Tablanormal"/>
    <w:uiPriority w:val="59"/>
    <w:rsid w:val="00D31FE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363"/>
    <w:pPr>
      <w:spacing w:before="100" w:beforeAutospacing="1" w:after="100" w:afterAutospacing="1"/>
    </w:pPr>
    <w:rPr>
      <w:rFonts w:ascii="Times New Roman" w:eastAsia="Times New Roman" w:hAnsi="Times New Roman" w:cs="Times New Roman"/>
      <w:lang w:val="es-GT" w:eastAsia="es-GT"/>
    </w:rPr>
  </w:style>
  <w:style w:type="character" w:styleId="Textoennegrita">
    <w:name w:val="Strong"/>
    <w:basedOn w:val="Fuentedeprrafopredeter"/>
    <w:uiPriority w:val="22"/>
    <w:qFormat/>
    <w:rsid w:val="003D3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7611">
      <w:bodyDiv w:val="1"/>
      <w:marLeft w:val="0"/>
      <w:marRight w:val="0"/>
      <w:marTop w:val="0"/>
      <w:marBottom w:val="0"/>
      <w:divBdr>
        <w:top w:val="none" w:sz="0" w:space="0" w:color="auto"/>
        <w:left w:val="none" w:sz="0" w:space="0" w:color="auto"/>
        <w:bottom w:val="none" w:sz="0" w:space="0" w:color="auto"/>
        <w:right w:val="none" w:sz="0" w:space="0" w:color="auto"/>
      </w:divBdr>
    </w:div>
    <w:div w:id="534928569">
      <w:bodyDiv w:val="1"/>
      <w:marLeft w:val="0"/>
      <w:marRight w:val="0"/>
      <w:marTop w:val="0"/>
      <w:marBottom w:val="0"/>
      <w:divBdr>
        <w:top w:val="none" w:sz="0" w:space="0" w:color="auto"/>
        <w:left w:val="none" w:sz="0" w:space="0" w:color="auto"/>
        <w:bottom w:val="none" w:sz="0" w:space="0" w:color="auto"/>
        <w:right w:val="none" w:sz="0" w:space="0" w:color="auto"/>
      </w:divBdr>
    </w:div>
    <w:div w:id="795442850">
      <w:bodyDiv w:val="1"/>
      <w:marLeft w:val="0"/>
      <w:marRight w:val="0"/>
      <w:marTop w:val="0"/>
      <w:marBottom w:val="0"/>
      <w:divBdr>
        <w:top w:val="none" w:sz="0" w:space="0" w:color="auto"/>
        <w:left w:val="none" w:sz="0" w:space="0" w:color="auto"/>
        <w:bottom w:val="none" w:sz="0" w:space="0" w:color="auto"/>
        <w:right w:val="none" w:sz="0" w:space="0" w:color="auto"/>
      </w:divBdr>
      <w:divsChild>
        <w:div w:id="993411284">
          <w:marLeft w:val="0"/>
          <w:marRight w:val="0"/>
          <w:marTop w:val="0"/>
          <w:marBottom w:val="0"/>
          <w:divBdr>
            <w:top w:val="none" w:sz="0" w:space="0" w:color="auto"/>
            <w:left w:val="none" w:sz="0" w:space="0" w:color="auto"/>
            <w:bottom w:val="none" w:sz="0" w:space="0" w:color="auto"/>
            <w:right w:val="none" w:sz="0" w:space="0" w:color="auto"/>
          </w:divBdr>
          <w:divsChild>
            <w:div w:id="1955019661">
              <w:marLeft w:val="0"/>
              <w:marRight w:val="0"/>
              <w:marTop w:val="0"/>
              <w:marBottom w:val="0"/>
              <w:divBdr>
                <w:top w:val="none" w:sz="0" w:space="0" w:color="auto"/>
                <w:left w:val="none" w:sz="0" w:space="0" w:color="auto"/>
                <w:bottom w:val="none" w:sz="0" w:space="0" w:color="auto"/>
                <w:right w:val="none" w:sz="0" w:space="0" w:color="auto"/>
              </w:divBdr>
              <w:divsChild>
                <w:div w:id="934019432">
                  <w:marLeft w:val="0"/>
                  <w:marRight w:val="0"/>
                  <w:marTop w:val="0"/>
                  <w:marBottom w:val="0"/>
                  <w:divBdr>
                    <w:top w:val="none" w:sz="0" w:space="0" w:color="auto"/>
                    <w:left w:val="none" w:sz="0" w:space="0" w:color="auto"/>
                    <w:bottom w:val="none" w:sz="0" w:space="0" w:color="auto"/>
                    <w:right w:val="none" w:sz="0" w:space="0" w:color="auto"/>
                  </w:divBdr>
                  <w:divsChild>
                    <w:div w:id="1829856955">
                      <w:marLeft w:val="0"/>
                      <w:marRight w:val="0"/>
                      <w:marTop w:val="0"/>
                      <w:marBottom w:val="0"/>
                      <w:divBdr>
                        <w:top w:val="none" w:sz="0" w:space="0" w:color="auto"/>
                        <w:left w:val="none" w:sz="0" w:space="0" w:color="auto"/>
                        <w:bottom w:val="none" w:sz="0" w:space="0" w:color="auto"/>
                        <w:right w:val="none" w:sz="0" w:space="0" w:color="auto"/>
                      </w:divBdr>
                      <w:divsChild>
                        <w:div w:id="1989628683">
                          <w:marLeft w:val="0"/>
                          <w:marRight w:val="0"/>
                          <w:marTop w:val="0"/>
                          <w:marBottom w:val="0"/>
                          <w:divBdr>
                            <w:top w:val="none" w:sz="0" w:space="0" w:color="auto"/>
                            <w:left w:val="none" w:sz="0" w:space="0" w:color="auto"/>
                            <w:bottom w:val="none" w:sz="0" w:space="0" w:color="auto"/>
                            <w:right w:val="none" w:sz="0" w:space="0" w:color="auto"/>
                          </w:divBdr>
                          <w:divsChild>
                            <w:div w:id="1067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269812">
      <w:bodyDiv w:val="1"/>
      <w:marLeft w:val="0"/>
      <w:marRight w:val="0"/>
      <w:marTop w:val="0"/>
      <w:marBottom w:val="0"/>
      <w:divBdr>
        <w:top w:val="none" w:sz="0" w:space="0" w:color="auto"/>
        <w:left w:val="none" w:sz="0" w:space="0" w:color="auto"/>
        <w:bottom w:val="none" w:sz="0" w:space="0" w:color="auto"/>
        <w:right w:val="none" w:sz="0" w:space="0" w:color="auto"/>
      </w:divBdr>
    </w:div>
    <w:div w:id="1449619595">
      <w:bodyDiv w:val="1"/>
      <w:marLeft w:val="0"/>
      <w:marRight w:val="0"/>
      <w:marTop w:val="0"/>
      <w:marBottom w:val="0"/>
      <w:divBdr>
        <w:top w:val="none" w:sz="0" w:space="0" w:color="auto"/>
        <w:left w:val="none" w:sz="0" w:space="0" w:color="auto"/>
        <w:bottom w:val="none" w:sz="0" w:space="0" w:color="auto"/>
        <w:right w:val="none" w:sz="0" w:space="0" w:color="auto"/>
      </w:divBdr>
      <w:divsChild>
        <w:div w:id="98179753">
          <w:marLeft w:val="0"/>
          <w:marRight w:val="0"/>
          <w:marTop w:val="0"/>
          <w:marBottom w:val="0"/>
          <w:divBdr>
            <w:top w:val="none" w:sz="0" w:space="0" w:color="auto"/>
            <w:left w:val="none" w:sz="0" w:space="0" w:color="auto"/>
            <w:bottom w:val="none" w:sz="0" w:space="0" w:color="auto"/>
            <w:right w:val="none" w:sz="0" w:space="0" w:color="auto"/>
          </w:divBdr>
          <w:divsChild>
            <w:div w:id="645552411">
              <w:marLeft w:val="0"/>
              <w:marRight w:val="0"/>
              <w:marTop w:val="0"/>
              <w:marBottom w:val="0"/>
              <w:divBdr>
                <w:top w:val="none" w:sz="0" w:space="0" w:color="auto"/>
                <w:left w:val="none" w:sz="0" w:space="0" w:color="auto"/>
                <w:bottom w:val="none" w:sz="0" w:space="0" w:color="auto"/>
                <w:right w:val="none" w:sz="0" w:space="0" w:color="auto"/>
              </w:divBdr>
              <w:divsChild>
                <w:div w:id="1719814383">
                  <w:marLeft w:val="0"/>
                  <w:marRight w:val="0"/>
                  <w:marTop w:val="0"/>
                  <w:marBottom w:val="0"/>
                  <w:divBdr>
                    <w:top w:val="none" w:sz="0" w:space="0" w:color="auto"/>
                    <w:left w:val="none" w:sz="0" w:space="0" w:color="auto"/>
                    <w:bottom w:val="none" w:sz="0" w:space="0" w:color="auto"/>
                    <w:right w:val="none" w:sz="0" w:space="0" w:color="auto"/>
                  </w:divBdr>
                  <w:divsChild>
                    <w:div w:id="228658393">
                      <w:marLeft w:val="0"/>
                      <w:marRight w:val="0"/>
                      <w:marTop w:val="0"/>
                      <w:marBottom w:val="0"/>
                      <w:divBdr>
                        <w:top w:val="none" w:sz="0" w:space="0" w:color="auto"/>
                        <w:left w:val="none" w:sz="0" w:space="0" w:color="auto"/>
                        <w:bottom w:val="none" w:sz="0" w:space="0" w:color="auto"/>
                        <w:right w:val="none" w:sz="0" w:space="0" w:color="auto"/>
                      </w:divBdr>
                      <w:divsChild>
                        <w:div w:id="892231627">
                          <w:marLeft w:val="0"/>
                          <w:marRight w:val="0"/>
                          <w:marTop w:val="0"/>
                          <w:marBottom w:val="0"/>
                          <w:divBdr>
                            <w:top w:val="none" w:sz="0" w:space="0" w:color="auto"/>
                            <w:left w:val="none" w:sz="0" w:space="0" w:color="auto"/>
                            <w:bottom w:val="none" w:sz="0" w:space="0" w:color="auto"/>
                            <w:right w:val="none" w:sz="0" w:space="0" w:color="auto"/>
                          </w:divBdr>
                          <w:divsChild>
                            <w:div w:id="1446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58658">
      <w:bodyDiv w:val="1"/>
      <w:marLeft w:val="0"/>
      <w:marRight w:val="0"/>
      <w:marTop w:val="0"/>
      <w:marBottom w:val="0"/>
      <w:divBdr>
        <w:top w:val="none" w:sz="0" w:space="0" w:color="auto"/>
        <w:left w:val="none" w:sz="0" w:space="0" w:color="auto"/>
        <w:bottom w:val="none" w:sz="0" w:space="0" w:color="auto"/>
        <w:right w:val="none" w:sz="0" w:space="0" w:color="auto"/>
      </w:divBdr>
    </w:div>
    <w:div w:id="17760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DF92-FB8A-4A49-8600-85944B3D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Lyceth Sandoval Mejía</cp:lastModifiedBy>
  <cp:revision>3</cp:revision>
  <cp:lastPrinted>2025-05-13T20:12:00Z</cp:lastPrinted>
  <dcterms:created xsi:type="dcterms:W3CDTF">2025-05-13T20:07:00Z</dcterms:created>
  <dcterms:modified xsi:type="dcterms:W3CDTF">2025-05-13T20:15:00Z</dcterms:modified>
</cp:coreProperties>
</file>