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bookmarkStart w:id="0" w:name="_GoBack"/>
      <w:bookmarkEnd w:id="0"/>
      <w:r w:rsidRPr="00B4084F">
        <w:rPr>
          <w:rFonts w:ascii="Altivo Light" w:hAnsi="Altivo Light" w:cs="Arial"/>
          <w:b/>
          <w:sz w:val="22"/>
          <w:szCs w:val="22"/>
        </w:rPr>
        <w:t xml:space="preserve">ACUERDO INTERNO NÚMERO </w:t>
      </w:r>
      <w:bookmarkStart w:id="1" w:name="_Hlk203403236"/>
      <w:r w:rsidRPr="00B4084F">
        <w:rPr>
          <w:rFonts w:ascii="Altivo Light" w:hAnsi="Altivo Light" w:cs="Arial"/>
          <w:b/>
          <w:sz w:val="22"/>
          <w:szCs w:val="22"/>
        </w:rPr>
        <w:t>SGV-</w:t>
      </w:r>
      <w:r w:rsidR="000E6A7B">
        <w:rPr>
          <w:rFonts w:ascii="Altivo Light" w:hAnsi="Altivo Light" w:cs="Arial"/>
          <w:b/>
          <w:sz w:val="22"/>
          <w:szCs w:val="22"/>
        </w:rPr>
        <w:t>1</w:t>
      </w:r>
      <w:r w:rsidR="00013269">
        <w:rPr>
          <w:rFonts w:ascii="Altivo Light" w:hAnsi="Altivo Light" w:cs="Arial"/>
          <w:b/>
          <w:sz w:val="22"/>
          <w:szCs w:val="22"/>
        </w:rPr>
        <w:t>8</w:t>
      </w:r>
      <w:r w:rsidRPr="00B4084F">
        <w:rPr>
          <w:rFonts w:ascii="Altivo Light" w:hAnsi="Altivo Light" w:cs="Arial"/>
          <w:b/>
          <w:sz w:val="22"/>
          <w:szCs w:val="22"/>
        </w:rPr>
        <w:t xml:space="preserve">-2025 </w:t>
      </w:r>
      <w:bookmarkEnd w:id="1"/>
    </w:p>
    <w:p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 xml:space="preserve">Guatemala, </w:t>
      </w:r>
      <w:r w:rsidR="00013269">
        <w:rPr>
          <w:rFonts w:ascii="Altivo Light" w:hAnsi="Altivo Light" w:cs="Arial"/>
          <w:b/>
          <w:sz w:val="22"/>
          <w:szCs w:val="22"/>
        </w:rPr>
        <w:t>11</w:t>
      </w:r>
      <w:r w:rsidRPr="00B4084F">
        <w:rPr>
          <w:rFonts w:ascii="Altivo Light" w:hAnsi="Altivo Light" w:cs="Arial"/>
          <w:b/>
          <w:sz w:val="22"/>
          <w:szCs w:val="22"/>
        </w:rPr>
        <w:t xml:space="preserve"> de </w:t>
      </w:r>
      <w:r w:rsidR="00013269">
        <w:rPr>
          <w:rFonts w:ascii="Altivo Light" w:hAnsi="Altivo Light" w:cs="Arial"/>
          <w:b/>
          <w:sz w:val="22"/>
          <w:szCs w:val="22"/>
        </w:rPr>
        <w:t xml:space="preserve">julio </w:t>
      </w:r>
      <w:r w:rsidRPr="00B4084F">
        <w:rPr>
          <w:rFonts w:ascii="Altivo Light" w:hAnsi="Altivo Light" w:cs="Arial"/>
          <w:b/>
          <w:sz w:val="22"/>
          <w:szCs w:val="22"/>
        </w:rPr>
        <w:t>de 2025</w:t>
      </w:r>
    </w:p>
    <w:p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:rsidR="000D51D6" w:rsidRDefault="000D51D6" w:rsidP="000D51D6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>
        <w:rPr>
          <w:rFonts w:ascii="Altivo Light" w:hAnsi="Altivo Light" w:cs="Arial"/>
          <w:sz w:val="22"/>
          <w:szCs w:val="22"/>
        </w:rPr>
        <w:t xml:space="preserve">Que 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:rsidR="00F22D45" w:rsidRPr="00B4084F" w:rsidRDefault="00F22D45" w:rsidP="00F22D45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:rsidR="00013269" w:rsidRDefault="00724B5C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sz w:val="22"/>
          <w:szCs w:val="22"/>
        </w:rPr>
        <w:t xml:space="preserve">Que </w:t>
      </w:r>
      <w:r w:rsidR="00013269">
        <w:rPr>
          <w:rFonts w:ascii="Altivo Light" w:hAnsi="Altivo Light" w:cs="Arial"/>
          <w:sz w:val="22"/>
          <w:szCs w:val="22"/>
        </w:rPr>
        <w:t xml:space="preserve">es necesario </w:t>
      </w:r>
      <w:r w:rsidR="00013269" w:rsidRPr="00E06790">
        <w:rPr>
          <w:rFonts w:ascii="Altivo Light" w:eastAsia="Times New Roman" w:hAnsi="Altivo Light" w:cs="Times New Roman"/>
          <w:lang w:eastAsia="es-GT"/>
        </w:rPr>
        <w:t>implementar una medida de control interno que garantice la seguridad e integridad de los vehículos institucionales, así como dar cumplimiento a las normativas de control gubernamental vigentes sobre el uso y administración de bienes del Estado</w:t>
      </w:r>
      <w:r w:rsidR="00013269">
        <w:rPr>
          <w:rFonts w:ascii="Altivo Light" w:eastAsia="Times New Roman" w:hAnsi="Altivo Light" w:cs="Times New Roman"/>
          <w:lang w:eastAsia="es-GT"/>
        </w:rPr>
        <w:t xml:space="preserve">, mediante la </w:t>
      </w:r>
      <w:r w:rsidR="00013269" w:rsidRPr="00E06790">
        <w:rPr>
          <w:rFonts w:ascii="Altivo Light" w:eastAsia="Times New Roman" w:hAnsi="Altivo Light" w:cs="Times New Roman"/>
          <w:lang w:eastAsia="es-GT"/>
        </w:rPr>
        <w:t>implementación de cajillas de seguridad con cerradura electrónica por huella digital</w:t>
      </w:r>
      <w:r w:rsidR="00013269">
        <w:rPr>
          <w:rFonts w:ascii="Altivo Light" w:eastAsia="Times New Roman" w:hAnsi="Altivo Light" w:cs="Times New Roman"/>
          <w:lang w:eastAsia="es-GT"/>
        </w:rPr>
        <w:t>, cuya utilización</w:t>
      </w:r>
      <w:r w:rsidR="00013269" w:rsidRPr="00E06790">
        <w:rPr>
          <w:rFonts w:ascii="Altivo Light" w:eastAsia="Times New Roman" w:hAnsi="Altivo Light" w:cs="Times New Roman"/>
          <w:lang w:eastAsia="es-GT"/>
        </w:rPr>
        <w:t xml:space="preserve"> busca asegurar que únicamente el piloto responsable tenga acceso a la llave del vehículo que le ha sido formalmente asignado, fortaleciendo así la transparencia y la correcta gestión de los recursos móviles</w:t>
      </w:r>
      <w:r w:rsidR="00013269">
        <w:rPr>
          <w:rFonts w:ascii="Altivo Light" w:eastAsia="Times New Roman" w:hAnsi="Altivo Light" w:cs="Times New Roman"/>
          <w:lang w:eastAsia="es-GT"/>
        </w:rPr>
        <w:t>.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:rsidR="00724B5C" w:rsidRPr="00B4084F" w:rsidRDefault="00724B5C" w:rsidP="00B4084F">
      <w:pPr>
        <w:spacing w:after="240"/>
        <w:jc w:val="both"/>
        <w:rPr>
          <w:rFonts w:ascii="Altivo Light" w:hAnsi="Altivo Light" w:cs="Arial"/>
          <w:spacing w:val="-2"/>
          <w:sz w:val="22"/>
          <w:szCs w:val="22"/>
        </w:rPr>
      </w:pPr>
      <w:r w:rsidRPr="00B4084F">
        <w:rPr>
          <w:rFonts w:ascii="Altivo Light" w:hAnsi="Altivo Light" w:cs="Arial"/>
          <w:spacing w:val="-2"/>
          <w:sz w:val="22"/>
          <w:szCs w:val="22"/>
        </w:rPr>
        <w:t xml:space="preserve">Que </w:t>
      </w:r>
      <w:r w:rsidRPr="00B4084F">
        <w:rPr>
          <w:rFonts w:ascii="Altivo Light" w:hAnsi="Altivo Light"/>
          <w:spacing w:val="-2"/>
          <w:sz w:val="22"/>
          <w:szCs w:val="22"/>
        </w:rPr>
        <w:t>las Normas Generales y Técnicas de Control Interno Gubernamental, aprobadas mediante Acuerdo número A-039-2023 del Contralor General de Cuentas, en lo aplicable a la Norma 3 “</w:t>
      </w:r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>Normas Aplicables a las Actividades de Control”, subnumeral 3.1 “Selección y Desarrollo de Actividades de Control” establece que, la máxima autoridad, a través de la unidad competente en materia de desarrollo de procedimientos de la entidad, debe elaborar e implementar manuales de procedimientos, los cuales, deben revisarse en función de las necesidades de la entidad para su actualización de acuerdo con cambios en los procesos</w:t>
      </w:r>
      <w:r w:rsidR="00B4084F"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, y </w:t>
      </w:r>
      <w:r w:rsidRPr="00B4084F">
        <w:rPr>
          <w:rFonts w:ascii="Altivo Light" w:hAnsi="Altivo Light" w:cs="Arial"/>
          <w:spacing w:val="-2"/>
          <w:sz w:val="22"/>
          <w:szCs w:val="22"/>
        </w:rPr>
        <w:t>derivado de lo anterior, es indispensable contar con un instrumento interno que permita a la Vicepresidencia de la República,</w:t>
      </w:r>
      <w:r w:rsidR="00013269">
        <w:rPr>
          <w:rFonts w:ascii="Altivo Light" w:hAnsi="Altivo Light" w:cs="Arial"/>
          <w:spacing w:val="-2"/>
          <w:sz w:val="22"/>
          <w:szCs w:val="22"/>
        </w:rPr>
        <w:t xml:space="preserve"> a través de la Unidad de Servicios Generales y Transportes, </w:t>
      </w:r>
      <w:r w:rsidR="00013269" w:rsidRPr="00E06790">
        <w:rPr>
          <w:rFonts w:ascii="Altivo Light" w:eastAsia="Times New Roman" w:hAnsi="Altivo Light" w:cs="Times New Roman"/>
          <w:lang w:eastAsia="es-GT"/>
        </w:rPr>
        <w:t>establecer y estandarizar el procedimiento para el resguardo, control y uso de las llaves de encendido de los vehículos asignados al personal de pilotos de esta institución</w:t>
      </w:r>
      <w:r w:rsidR="00013269">
        <w:rPr>
          <w:rFonts w:ascii="Altivo Light" w:hAnsi="Altivo Light" w:cs="Arial"/>
          <w:spacing w:val="-2"/>
          <w:sz w:val="22"/>
          <w:szCs w:val="22"/>
        </w:rPr>
        <w:t>.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i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POR TANTO</w:t>
      </w:r>
    </w:p>
    <w:p w:rsidR="00724B5C" w:rsidRPr="00B4084F" w:rsidRDefault="00B4084F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sz w:val="22"/>
          <w:szCs w:val="22"/>
        </w:rPr>
        <w:t xml:space="preserve">En cumplimiento de sus atribuciones y de lo establecido en el artículo 154 de la Constitución Política de la República de Guatemala, y con fundamento en el Decreto Número 101-97 del Congreso de la República de Guatemala, y </w:t>
      </w:r>
      <w:r w:rsidRPr="00B4084F">
        <w:rPr>
          <w:rFonts w:ascii="Altivo Light" w:hAnsi="Altivo Light"/>
          <w:sz w:val="22"/>
          <w:szCs w:val="22"/>
        </w:rPr>
        <w:t>las Normas Generales y Técnicas de Control Interno Gubernamental, aprobadas mediante Acuerdo número A-039-2023 del Contralor General de Cuentas</w:t>
      </w:r>
      <w:r w:rsidR="00724B5C" w:rsidRPr="00B4084F">
        <w:rPr>
          <w:rFonts w:ascii="Altivo Light" w:hAnsi="Altivo Light" w:cs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ACUERDA</w:t>
      </w:r>
      <w:bookmarkStart w:id="2" w:name="link2"/>
      <w:bookmarkStart w:id="3" w:name="3"/>
      <w:bookmarkEnd w:id="2"/>
      <w:bookmarkEnd w:id="3"/>
    </w:p>
    <w:p w:rsidR="00F22D45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lastRenderedPageBreak/>
        <w:t xml:space="preserve">ARTICULO 1. </w:t>
      </w:r>
      <w:r w:rsidRPr="00B4084F">
        <w:rPr>
          <w:rFonts w:ascii="Altivo Light" w:hAnsi="Altivo Light" w:cs="Arial"/>
          <w:b/>
          <w:sz w:val="22"/>
          <w:szCs w:val="22"/>
        </w:rPr>
        <w:t xml:space="preserve">Aprobación. 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Aprobar el </w:t>
      </w:r>
      <w:r w:rsidR="00F22D45"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 xml:space="preserve">INSTRUCTIVO PARA EL RESGUARDO DE LLAVES DE VEHÍCULOS INSTITUCIONALES MEDIANTE CAJILLAS DE SEGURIDAD CON </w:t>
      </w:r>
      <w:r w:rsidR="00F22D45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 xml:space="preserve">CERRADURA </w:t>
      </w:r>
      <w:r w:rsidR="00F22D45"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BIOMÉTRIC</w:t>
      </w:r>
      <w:r w:rsidR="00F22D45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, que consta de </w:t>
      </w:r>
      <w:r w:rsidR="00F22D45">
        <w:rPr>
          <w:rFonts w:ascii="Altivo Light" w:hAnsi="Altivo Light" w:cs="Arial"/>
          <w:bCs/>
          <w:sz w:val="22"/>
          <w:szCs w:val="22"/>
        </w:rPr>
        <w:t>tres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 folios.</w:t>
      </w:r>
      <w:bookmarkStart w:id="4" w:name="10"/>
      <w:bookmarkStart w:id="5" w:name="11"/>
      <w:bookmarkEnd w:id="4"/>
      <w:bookmarkEnd w:id="5"/>
    </w:p>
    <w:p w:rsidR="00724B5C" w:rsidRPr="00B4084F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ARTICULO 2. Vigencia.</w:t>
      </w:r>
      <w:r w:rsidR="00B4084F" w:rsidRPr="00B4084F">
        <w:rPr>
          <w:rFonts w:ascii="Altivo Light" w:hAnsi="Altivo Light" w:cs="Arial"/>
          <w:b/>
          <w:bCs/>
          <w:sz w:val="22"/>
          <w:szCs w:val="22"/>
        </w:rPr>
        <w:t xml:space="preserve"> </w:t>
      </w:r>
      <w:r w:rsidRPr="00B4084F">
        <w:rPr>
          <w:rFonts w:ascii="Altivo Light" w:hAnsi="Altivo Light" w:cs="Arial"/>
          <w:sz w:val="22"/>
          <w:szCs w:val="22"/>
        </w:rPr>
        <w:t xml:space="preserve">El presente acuerdo surte sus efectos inmediatamente, debiendo publicarse en la página oficial de la Vicepresidencia de la República.  </w:t>
      </w: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</w:p>
    <w:p w:rsidR="00724B5C" w:rsidRDefault="00724B5C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COMUNÍQUESE</w:t>
      </w: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p w:rsidR="00F22D45" w:rsidRPr="00E06790" w:rsidRDefault="00F22D45" w:rsidP="00F22D45">
      <w:pPr>
        <w:spacing w:before="100" w:beforeAutospacing="1"/>
        <w:jc w:val="center"/>
        <w:rPr>
          <w:rFonts w:ascii="Altivo Light" w:eastAsia="Times New Roman" w:hAnsi="Altivo Light" w:cs="Times New Roman"/>
          <w:lang w:eastAsia="es-GT"/>
        </w:rPr>
      </w:pPr>
      <w:bookmarkStart w:id="6" w:name="_Hlk203403034"/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lastRenderedPageBreak/>
        <w:t xml:space="preserve">INSTRUCTIVO PARA EL RESGUARDO DE LLAVES DE VEHÍCULOS INSTITUCIONALES MEDIANTE CAJILLAS DE SEGURIDAD CON </w:t>
      </w:r>
      <w:r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 xml:space="preserve">CERRADURA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BIOMÉTRIC</w:t>
      </w:r>
      <w:r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</w:t>
      </w:r>
    </w:p>
    <w:bookmarkEnd w:id="6"/>
    <w:p w:rsidR="00F22D45" w:rsidRPr="00E06790" w:rsidRDefault="00F22D45" w:rsidP="00F22D45">
      <w:pPr>
        <w:spacing w:before="100" w:beforeAutospacing="1"/>
        <w:jc w:val="both"/>
        <w:outlineLvl w:val="2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1. Objeto y Finalidad</w:t>
      </w:r>
    </w:p>
    <w:p w:rsidR="00F22D45" w:rsidRPr="00E06790" w:rsidRDefault="00F22D45" w:rsidP="00F22D45">
      <w:p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El presente instructivo tiene como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objeto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establecer y estandarizar el procedimiento para el resguardo, control y uso de las llaves de encendido de los vehículos asignados al personal de pilotos de esta institución.</w:t>
      </w:r>
      <w:r w:rsidR="00DC4A4A">
        <w:rPr>
          <w:rFonts w:ascii="Altivo Light" w:eastAsia="Times New Roman" w:hAnsi="Altivo Light" w:cs="Times New Roman"/>
          <w:lang w:eastAsia="es-GT"/>
        </w:rPr>
        <w:t xml:space="preserve"> Cada vehículo cuenta con dos (2) llaves de encendido, siendo una (1) original que se encuentra bajo resguardo del Encargado de Servicios Generales y Transportes, y una (1) duplicada que será entregada a cada piloto que tenga bajo se responsabilidad un vehículo de la institución. La llave original, deberá ser utilizada únicamente en caso de extravío de la llave entregada a cada piloto o bien cuando no se encuentre disponible la misma por motivos de fuerza mayor. </w:t>
      </w:r>
    </w:p>
    <w:p w:rsidR="00F22D45" w:rsidRPr="00E06790" w:rsidRDefault="00F22D45" w:rsidP="00F22D45">
      <w:p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La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finalidad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de este procedimiento es implementar una medida de control interno que garantice la seguridad e integridad de los vehículos institucionales, así como dar cumplimiento a las normativas de control gubernamental vigentes sobre el uso y administración de bienes del Estado. La implementación de cajillas de seguridad con cerradura electrónica por huella digital busca asegurar que únicamente el piloto responsable tenga acceso a la llave del vehículo que le ha sido formalmente asignado, fortaleciendo así la transparencia y la correcta gestión de los recursos móviles.</w:t>
      </w:r>
    </w:p>
    <w:p w:rsidR="00F22D45" w:rsidRPr="00E06790" w:rsidRDefault="00F22D45" w:rsidP="00F22D45">
      <w:pPr>
        <w:spacing w:before="100" w:beforeAutospacing="1"/>
        <w:jc w:val="both"/>
        <w:outlineLvl w:val="2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2. Ámbito de Aplicación</w:t>
      </w:r>
    </w:p>
    <w:p w:rsidR="00F22D45" w:rsidRPr="00E06790" w:rsidRDefault="00F22D45" w:rsidP="00F22D45">
      <w:p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Este instructivo es de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aplicación obligatoria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para todo el personal de pilotos que tenga asignado un vehículo propiedad de la institución.</w:t>
      </w:r>
    </w:p>
    <w:p w:rsidR="00F22D45" w:rsidRPr="00E06790" w:rsidRDefault="00F22D45" w:rsidP="00F22D45">
      <w:pPr>
        <w:spacing w:before="100" w:beforeAutospacing="1"/>
        <w:jc w:val="both"/>
        <w:outlineLvl w:val="2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3. Descripción del Sistema de Resguardo</w:t>
      </w:r>
    </w:p>
    <w:p w:rsidR="00F22D45" w:rsidRPr="00E06790" w:rsidRDefault="00F22D45" w:rsidP="00F22D45">
      <w:p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Se implementará un sistema de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cajillas de seguridad individuales</w:t>
      </w:r>
      <w:r w:rsidRPr="00E06790">
        <w:rPr>
          <w:rFonts w:ascii="Altivo Light" w:eastAsia="Times New Roman" w:hAnsi="Altivo Light" w:cs="Times New Roman"/>
          <w:lang w:eastAsia="es-GT"/>
        </w:rPr>
        <w:t>, cada una equipada con una cerradura electrónica que se acciona mediante el registro y lectura de la huella digital. Cada piloto tendrá una cajilla única y exclusiva asignada para la llave del vehículo bajo su responsabilidad.</w:t>
      </w:r>
    </w:p>
    <w:p w:rsidR="00F22D45" w:rsidRPr="00E06790" w:rsidRDefault="00F22D45" w:rsidP="00F22D45">
      <w:pPr>
        <w:spacing w:after="120"/>
        <w:jc w:val="both"/>
        <w:rPr>
          <w:rFonts w:ascii="Altivo Light" w:eastAsia="Times New Roman" w:hAnsi="Altivo Light" w:cs="Times New Roman"/>
          <w:lang w:eastAsia="es-GT"/>
        </w:rPr>
      </w:pPr>
    </w:p>
    <w:p w:rsidR="00F22D45" w:rsidRPr="00E06790" w:rsidRDefault="00F22D45" w:rsidP="00F22D45">
      <w:pPr>
        <w:spacing w:before="100" w:beforeAutospacing="1"/>
        <w:jc w:val="both"/>
        <w:outlineLvl w:val="2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4. Procedimiento de Uso de las Cajillas de Seguridad</w:t>
      </w:r>
    </w:p>
    <w:p w:rsidR="00F22D45" w:rsidRPr="00E06790" w:rsidRDefault="00F22D45" w:rsidP="00F22D45">
      <w:pPr>
        <w:spacing w:before="100" w:beforeAutospacing="1" w:after="24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A continuación, se detalla el proceso que cada piloto debe seguir para el uso correcto de las cajillas de seguridad. Es imperativo seguir cada paso para garantizar la efectividad del sistema.</w:t>
      </w:r>
    </w:p>
    <w:p w:rsidR="00F22D45" w:rsidRPr="00E06790" w:rsidRDefault="00F22D45" w:rsidP="00F22D45">
      <w:pPr>
        <w:spacing w:before="100" w:beforeAutospacing="1"/>
        <w:jc w:val="both"/>
        <w:outlineLvl w:val="3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4.1. Proceso en Horario Laboral Ordinario</w:t>
      </w:r>
    </w:p>
    <w:p w:rsidR="00F22D45" w:rsidRPr="00E06790" w:rsidRDefault="00F22D45" w:rsidP="00F22D45">
      <w:pPr>
        <w:numPr>
          <w:ilvl w:val="0"/>
          <w:numId w:val="3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Arribo al Puesto de Trabajo: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Al iniciar su jornada laboral, el piloto se dirigirá al área designada para las cajillas de seguridad.</w:t>
      </w:r>
    </w:p>
    <w:p w:rsidR="00F22D45" w:rsidRPr="00E06790" w:rsidRDefault="00F22D45" w:rsidP="00F22D45">
      <w:pPr>
        <w:numPr>
          <w:ilvl w:val="0"/>
          <w:numId w:val="3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lastRenderedPageBreak/>
        <w:t>Retiro de la Llave: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Cuando se requiera el servicio del vehículo, es decir, cuando se solicite su uso para el transporte de personas o bienes, el piloto procederá a:</w:t>
      </w:r>
    </w:p>
    <w:p w:rsidR="00F22D45" w:rsidRPr="00E06790" w:rsidRDefault="00F22D45" w:rsidP="00F22D45">
      <w:pPr>
        <w:numPr>
          <w:ilvl w:val="0"/>
          <w:numId w:val="5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Colocar su dedo índice registrado en el lector biométrico de la cajilla asignada.</w:t>
      </w:r>
    </w:p>
    <w:p w:rsidR="00F22D45" w:rsidRPr="00E06790" w:rsidRDefault="00F22D45" w:rsidP="00F22D45">
      <w:pPr>
        <w:numPr>
          <w:ilvl w:val="0"/>
          <w:numId w:val="5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Una vez validada la huella, la cerradura se liberará, permitiendo abrir la cajilla.</w:t>
      </w:r>
    </w:p>
    <w:p w:rsidR="00F22D45" w:rsidRPr="00E06790" w:rsidRDefault="00F22D45" w:rsidP="00F22D45">
      <w:pPr>
        <w:numPr>
          <w:ilvl w:val="0"/>
          <w:numId w:val="5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Retirar la llave de encendido del vehículo.</w:t>
      </w:r>
    </w:p>
    <w:p w:rsidR="00F22D45" w:rsidRPr="00E06790" w:rsidRDefault="00F22D45" w:rsidP="00F22D45">
      <w:pPr>
        <w:numPr>
          <w:ilvl w:val="0"/>
          <w:numId w:val="5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Cerrar debidamente la puerta de la cajilla de seguridad.</w:t>
      </w:r>
    </w:p>
    <w:p w:rsidR="00F22D45" w:rsidRPr="00E06790" w:rsidRDefault="00F22D45" w:rsidP="00F22D45">
      <w:pPr>
        <w:numPr>
          <w:ilvl w:val="0"/>
          <w:numId w:val="3"/>
        </w:numPr>
        <w:tabs>
          <w:tab w:val="clear" w:pos="720"/>
        </w:tabs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Resguardo Durante la Jornada: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Mientras el vehículo no se encuentre en servicio activo, la llave deberá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permanecer obligatoriamente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dentro de su cajilla de seguridad correspondiente.</w:t>
      </w:r>
    </w:p>
    <w:p w:rsidR="00F22D45" w:rsidRPr="00E06790" w:rsidRDefault="00F22D45" w:rsidP="00F22D45">
      <w:pPr>
        <w:numPr>
          <w:ilvl w:val="0"/>
          <w:numId w:val="3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Finalización de la Jornada Laboral: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Al concluir su horario de trabajo, y habiendo estacionado el vehículo en </w:t>
      </w:r>
      <w:r>
        <w:rPr>
          <w:rFonts w:ascii="Altivo Light" w:eastAsia="Times New Roman" w:hAnsi="Altivo Light" w:cs="Times New Roman"/>
          <w:lang w:eastAsia="es-GT"/>
        </w:rPr>
        <w:t>los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parqueo</w:t>
      </w:r>
      <w:r>
        <w:rPr>
          <w:rFonts w:ascii="Altivo Light" w:eastAsia="Times New Roman" w:hAnsi="Altivo Light" w:cs="Times New Roman"/>
          <w:lang w:eastAsia="es-GT"/>
        </w:rPr>
        <w:t>s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de la </w:t>
      </w:r>
      <w:r w:rsidR="00DC4A4A">
        <w:rPr>
          <w:rFonts w:ascii="Altivo Light" w:eastAsia="Times New Roman" w:hAnsi="Altivo Light" w:cs="Times New Roman"/>
          <w:lang w:eastAsia="es-GT"/>
        </w:rPr>
        <w:t>Secretaría de Asuntos Administrativos y de Seguridad de la Presidencia -SAAS-</w:t>
      </w:r>
      <w:r w:rsidRPr="00E06790">
        <w:rPr>
          <w:rFonts w:ascii="Altivo Light" w:eastAsia="Times New Roman" w:hAnsi="Altivo Light" w:cs="Times New Roman"/>
          <w:lang w:eastAsia="es-GT"/>
        </w:rPr>
        <w:t>, el piloto deberá:</w:t>
      </w:r>
    </w:p>
    <w:p w:rsidR="00F22D45" w:rsidRPr="00E06790" w:rsidRDefault="00F22D45" w:rsidP="00F22D45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Dirigirse al área de las cajillas.</w:t>
      </w:r>
    </w:p>
    <w:p w:rsidR="00F22D45" w:rsidRPr="00E06790" w:rsidRDefault="00F22D45" w:rsidP="00F22D45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Abrir su cajilla utilizando su huella digital.</w:t>
      </w:r>
    </w:p>
    <w:p w:rsidR="00F22D45" w:rsidRPr="00E06790" w:rsidRDefault="00F22D45" w:rsidP="00F22D45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Depositar la llave del vehículo en el interior.</w:t>
      </w:r>
    </w:p>
    <w:p w:rsidR="00F22D45" w:rsidRPr="00E06790" w:rsidRDefault="00F22D45" w:rsidP="00F22D45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Asegurarse de que la cajilla quede perfectamente cerrada y bloqueada.</w:t>
      </w:r>
    </w:p>
    <w:p w:rsidR="00F22D45" w:rsidRPr="00E06790" w:rsidRDefault="00F22D45" w:rsidP="00F22D45">
      <w:pPr>
        <w:spacing w:before="100" w:beforeAutospacing="1"/>
        <w:jc w:val="both"/>
        <w:outlineLvl w:val="3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4.2. Proceso para Comisiones en Horario Extraordinario o Fines de Semana</w:t>
      </w:r>
    </w:p>
    <w:p w:rsidR="00F22D45" w:rsidRPr="00E06790" w:rsidRDefault="00F22D45" w:rsidP="00F22D45">
      <w:pPr>
        <w:pStyle w:val="Prrafodelista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/>
        <w:ind w:left="709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Autorización y Retiro Previo: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Cuando se programe una comisión oficial </w:t>
      </w:r>
      <w:r>
        <w:rPr>
          <w:rFonts w:ascii="Altivo Light" w:eastAsia="Times New Roman" w:hAnsi="Altivo Light" w:cs="Times New Roman"/>
          <w:lang w:eastAsia="es-GT"/>
        </w:rPr>
        <w:t xml:space="preserve">para llevarse a cabo </w:t>
      </w:r>
      <w:r w:rsidRPr="00E06790">
        <w:rPr>
          <w:rFonts w:ascii="Altivo Light" w:eastAsia="Times New Roman" w:hAnsi="Altivo Light" w:cs="Times New Roman"/>
          <w:lang w:eastAsia="es-GT"/>
        </w:rPr>
        <w:t xml:space="preserve">fuera del horario laboral habitual o durante el fin de semana, el piloto responsable deberá retirar la llave de la cajilla de seguridad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antes de finalizar su última jornada hábil previa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a la comisión.</w:t>
      </w:r>
    </w:p>
    <w:p w:rsidR="00F22D45" w:rsidRPr="00E06790" w:rsidRDefault="00F22D45" w:rsidP="00F22D45">
      <w:pPr>
        <w:pStyle w:val="Prrafodelista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/>
        <w:ind w:left="709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Custodia de la Llave: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Durante el período que dure la comisión extraordinaria, el piloto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será el custodio directo de la llave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y responsable de su resguardo en todo momento.</w:t>
      </w:r>
    </w:p>
    <w:p w:rsidR="00F22D45" w:rsidRPr="00E06790" w:rsidRDefault="00F22D45" w:rsidP="00F22D45">
      <w:pPr>
        <w:pStyle w:val="Prrafodelista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/>
        <w:ind w:left="709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Retorno de la Comisión: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Al finalizar la comisión, el piloto deberá:</w:t>
      </w:r>
    </w:p>
    <w:p w:rsidR="00F22D45" w:rsidRPr="00E06790" w:rsidRDefault="00F22D45" w:rsidP="00F22D45">
      <w:pPr>
        <w:pStyle w:val="Prrafodelista"/>
        <w:numPr>
          <w:ilvl w:val="0"/>
          <w:numId w:val="7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Si el retorno ocurre dentro del horario laboral, depositar la llave en la cajilla de seguridad de forma inmediata.</w:t>
      </w:r>
    </w:p>
    <w:p w:rsidR="00F22D45" w:rsidRPr="00E06790" w:rsidRDefault="00F22D45" w:rsidP="00F22D45">
      <w:pPr>
        <w:pStyle w:val="Prrafodelista"/>
        <w:numPr>
          <w:ilvl w:val="0"/>
          <w:numId w:val="7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Si el retorno ocurre en horario extraordinario o durante el fin de semana, deberá resguardar la llave y depositarla en su cajilla asignada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a primera hora del siguiente día hábil</w:t>
      </w:r>
      <w:r w:rsidRPr="00E06790">
        <w:rPr>
          <w:rFonts w:ascii="Altivo Light" w:eastAsia="Times New Roman" w:hAnsi="Altivo Light" w:cs="Times New Roman"/>
          <w:lang w:eastAsia="es-GT"/>
        </w:rPr>
        <w:t>.</w:t>
      </w:r>
    </w:p>
    <w:p w:rsidR="00F22D45" w:rsidRPr="00E06790" w:rsidRDefault="00F22D45" w:rsidP="00F22D45">
      <w:pPr>
        <w:spacing w:before="100" w:beforeAutospacing="1"/>
        <w:jc w:val="both"/>
        <w:outlineLvl w:val="2"/>
        <w:rPr>
          <w:rFonts w:ascii="Altivo Light" w:eastAsia="Times New Roman" w:hAnsi="Altivo Light" w:cs="Times New Roman"/>
          <w:b/>
          <w:bCs/>
          <w:lang w:eastAsia="es-GT"/>
        </w:rPr>
      </w:pP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5. Disposiciones Generales y Recordatorios Importantes</w:t>
      </w:r>
    </w:p>
    <w:p w:rsidR="00F22D45" w:rsidRPr="00E06790" w:rsidRDefault="00F22D45" w:rsidP="00F22D45">
      <w:pPr>
        <w:numPr>
          <w:ilvl w:val="0"/>
          <w:numId w:val="8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Es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responsabilidad exclusiva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de cada piloto el correcto uso de su cajilla de seguridad y el resguardo de la llave asignada.</w:t>
      </w:r>
    </w:p>
    <w:p w:rsidR="00F22D45" w:rsidRDefault="00F22D45" w:rsidP="00F22D45">
      <w:pPr>
        <w:numPr>
          <w:ilvl w:val="0"/>
          <w:numId w:val="8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lastRenderedPageBreak/>
        <w:t xml:space="preserve">Queda terminantemente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prohibido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que los pilotos se lleven los vehículos institucionales a sus viviendas particulares. Todos los vehículos deben permanecer en </w:t>
      </w:r>
      <w:r>
        <w:rPr>
          <w:rFonts w:ascii="Altivo Light" w:eastAsia="Times New Roman" w:hAnsi="Altivo Light" w:cs="Times New Roman"/>
          <w:lang w:eastAsia="es-GT"/>
        </w:rPr>
        <w:t>los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parqueo</w:t>
      </w:r>
      <w:r>
        <w:rPr>
          <w:rFonts w:ascii="Altivo Light" w:eastAsia="Times New Roman" w:hAnsi="Altivo Light" w:cs="Times New Roman"/>
          <w:lang w:eastAsia="es-GT"/>
        </w:rPr>
        <w:t xml:space="preserve">s </w:t>
      </w:r>
      <w:r w:rsidRPr="00E06790">
        <w:rPr>
          <w:rFonts w:ascii="Altivo Light" w:eastAsia="Times New Roman" w:hAnsi="Altivo Light" w:cs="Times New Roman"/>
          <w:lang w:eastAsia="es-GT"/>
        </w:rPr>
        <w:t xml:space="preserve">de la </w:t>
      </w:r>
      <w:r w:rsidR="00A00101">
        <w:rPr>
          <w:rFonts w:ascii="Altivo Light" w:eastAsia="Times New Roman" w:hAnsi="Altivo Light" w:cs="Times New Roman"/>
          <w:lang w:eastAsia="es-GT"/>
        </w:rPr>
        <w:t>Secretaría de Asuntos Administrativos y de Seguridad de la Presidencia -SAAS-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cuando no estén en servicio oficial.</w:t>
      </w:r>
    </w:p>
    <w:p w:rsidR="00F22D45" w:rsidRPr="00E06790" w:rsidRDefault="00F22D45" w:rsidP="00F22D45">
      <w:pPr>
        <w:numPr>
          <w:ilvl w:val="0"/>
          <w:numId w:val="8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>
        <w:rPr>
          <w:rFonts w:ascii="Altivo Light" w:eastAsia="Times New Roman" w:hAnsi="Altivo Light" w:cs="Times New Roman"/>
          <w:lang w:eastAsia="es-GT"/>
        </w:rPr>
        <w:t xml:space="preserve">Queda terminantemente prohibido que los pilotos utilicen los vehículos institucionales para llevar a cabo actividades que no se encuentren programadas y autorizadas dentro de la comisión oficial para la cual fue requerido, así como para atender asuntos personales propios o sugeridos por algún colaborador de la institución.  </w:t>
      </w:r>
    </w:p>
    <w:p w:rsidR="00F22D45" w:rsidRPr="00E06790" w:rsidRDefault="00F22D45" w:rsidP="00F22D45">
      <w:pPr>
        <w:numPr>
          <w:ilvl w:val="0"/>
          <w:numId w:val="8"/>
        </w:numPr>
        <w:spacing w:before="100" w:beforeAutospacing="1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 xml:space="preserve">Cualquier anomalía, falla en el sistema de cerradura biométrica o pérdida de una llave deberá ser reportada de </w:t>
      </w:r>
      <w:r w:rsidRPr="00E06790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manera inmediata</w:t>
      </w:r>
      <w:r w:rsidRPr="00E06790">
        <w:rPr>
          <w:rFonts w:ascii="Altivo Light" w:eastAsia="Times New Roman" w:hAnsi="Altivo Light" w:cs="Times New Roman"/>
          <w:lang w:eastAsia="es-GT"/>
        </w:rPr>
        <w:t xml:space="preserve"> a la Jefatura de Servicios Generales o al departamento administrativo correspondiente.</w:t>
      </w:r>
    </w:p>
    <w:p w:rsidR="00F22D45" w:rsidRDefault="00F22D45" w:rsidP="00F22D45">
      <w:pPr>
        <w:numPr>
          <w:ilvl w:val="0"/>
          <w:numId w:val="8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 w:rsidRPr="00E06790">
        <w:rPr>
          <w:rFonts w:ascii="Altivo Light" w:eastAsia="Times New Roman" w:hAnsi="Altivo Light" w:cs="Times New Roman"/>
          <w:lang w:eastAsia="es-GT"/>
        </w:rPr>
        <w:t>El incumplimiento de las disposiciones contenidas en este instructivo dará lugar a las sanciones administrativas que correspondan, de acuerdo con la normativa interna y la ley de servicio civil aplicable.</w:t>
      </w:r>
    </w:p>
    <w:p w:rsidR="00A00101" w:rsidRPr="00E06790" w:rsidRDefault="00A00101" w:rsidP="00F22D45">
      <w:pPr>
        <w:numPr>
          <w:ilvl w:val="0"/>
          <w:numId w:val="8"/>
        </w:numPr>
        <w:spacing w:before="100" w:beforeAutospacing="1" w:after="120"/>
        <w:jc w:val="both"/>
        <w:rPr>
          <w:rFonts w:ascii="Altivo Light" w:eastAsia="Times New Roman" w:hAnsi="Altivo Light" w:cs="Times New Roman"/>
          <w:lang w:eastAsia="es-GT"/>
        </w:rPr>
      </w:pPr>
      <w:r>
        <w:rPr>
          <w:rFonts w:ascii="Altivo Light" w:eastAsia="Times New Roman" w:hAnsi="Altivo Light" w:cs="Times New Roman"/>
          <w:lang w:eastAsia="es-GT"/>
        </w:rPr>
        <w:t>Los casos no previstos dentro del presente instructivo serán resueltos en su oportunidad por la Secretaría General de la Vicepresidencia de la República y la Unidad de Servicios Generales y Transportes.</w:t>
      </w:r>
    </w:p>
    <w:p w:rsidR="00F22D45" w:rsidRPr="00B4084F" w:rsidRDefault="00F22D45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</w:p>
    <w:sectPr w:rsidR="00F22D45" w:rsidRPr="00B4084F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7B" w:rsidRDefault="009A3B7B" w:rsidP="00312D45">
      <w:r>
        <w:separator/>
      </w:r>
    </w:p>
  </w:endnote>
  <w:endnote w:type="continuationSeparator" w:id="0">
    <w:p w:rsidR="009A3B7B" w:rsidRDefault="009A3B7B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7B" w:rsidRDefault="009A3B7B" w:rsidP="00312D45">
      <w:r>
        <w:separator/>
      </w:r>
    </w:p>
  </w:footnote>
  <w:footnote w:type="continuationSeparator" w:id="0">
    <w:p w:rsidR="009A3B7B" w:rsidRDefault="009A3B7B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B45"/>
    <w:multiLevelType w:val="multilevel"/>
    <w:tmpl w:val="6594434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22C459A"/>
    <w:multiLevelType w:val="multilevel"/>
    <w:tmpl w:val="C3CE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CE0F96"/>
    <w:multiLevelType w:val="multilevel"/>
    <w:tmpl w:val="666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53F67"/>
    <w:multiLevelType w:val="multilevel"/>
    <w:tmpl w:val="E286DA0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1F842A9"/>
    <w:multiLevelType w:val="multilevel"/>
    <w:tmpl w:val="808A994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7051F"/>
    <w:multiLevelType w:val="multilevel"/>
    <w:tmpl w:val="1EE0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13269"/>
    <w:rsid w:val="00036052"/>
    <w:rsid w:val="00096C80"/>
    <w:rsid w:val="000C7447"/>
    <w:rsid w:val="000D51D6"/>
    <w:rsid w:val="000D698D"/>
    <w:rsid w:val="000E6A7B"/>
    <w:rsid w:val="000F1A81"/>
    <w:rsid w:val="001264EC"/>
    <w:rsid w:val="001631C3"/>
    <w:rsid w:val="00166897"/>
    <w:rsid w:val="00194CB4"/>
    <w:rsid w:val="002939CE"/>
    <w:rsid w:val="003068A9"/>
    <w:rsid w:val="00312D45"/>
    <w:rsid w:val="00322223"/>
    <w:rsid w:val="0042629E"/>
    <w:rsid w:val="004B34EC"/>
    <w:rsid w:val="004C5D7C"/>
    <w:rsid w:val="004F79F0"/>
    <w:rsid w:val="006208A6"/>
    <w:rsid w:val="00693F23"/>
    <w:rsid w:val="006E6220"/>
    <w:rsid w:val="00724B5C"/>
    <w:rsid w:val="00771B4C"/>
    <w:rsid w:val="00783F2A"/>
    <w:rsid w:val="00826960"/>
    <w:rsid w:val="00921E1D"/>
    <w:rsid w:val="009A3B7B"/>
    <w:rsid w:val="009F07CF"/>
    <w:rsid w:val="00A00101"/>
    <w:rsid w:val="00A71599"/>
    <w:rsid w:val="00AD4241"/>
    <w:rsid w:val="00B10A4A"/>
    <w:rsid w:val="00B4084F"/>
    <w:rsid w:val="00B62344"/>
    <w:rsid w:val="00B86F0A"/>
    <w:rsid w:val="00BB671E"/>
    <w:rsid w:val="00BE5247"/>
    <w:rsid w:val="00DB2367"/>
    <w:rsid w:val="00DC4A4A"/>
    <w:rsid w:val="00DD5B03"/>
    <w:rsid w:val="00DD5D89"/>
    <w:rsid w:val="00ED7564"/>
    <w:rsid w:val="00F070A9"/>
    <w:rsid w:val="00F22D45"/>
    <w:rsid w:val="00F47D86"/>
    <w:rsid w:val="00F6404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F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F2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cp:lastPrinted>2025-07-15T20:17:00Z</cp:lastPrinted>
  <dcterms:created xsi:type="dcterms:W3CDTF">2025-07-16T18:05:00Z</dcterms:created>
  <dcterms:modified xsi:type="dcterms:W3CDTF">2025-07-16T18:05:00Z</dcterms:modified>
</cp:coreProperties>
</file>