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3DD" w:rsidRDefault="00BF4A05" w:rsidP="00BF4A05">
      <w:pPr>
        <w:spacing w:line="360" w:lineRule="auto"/>
        <w:jc w:val="both"/>
        <w:rPr>
          <w:rFonts w:ascii="Arial" w:hAnsi="Arial" w:cs="Arial"/>
        </w:rPr>
      </w:pPr>
      <w:r w:rsidRPr="006073DD">
        <w:rPr>
          <w:rFonts w:ascii="Arial" w:hAnsi="Arial" w:cs="Arial"/>
          <w:b/>
        </w:rPr>
        <w:t xml:space="preserve">Artículo </w:t>
      </w:r>
      <w:r w:rsidR="00211CFB">
        <w:rPr>
          <w:rFonts w:ascii="Arial" w:hAnsi="Arial" w:cs="Arial"/>
          <w:b/>
        </w:rPr>
        <w:t>96</w:t>
      </w:r>
      <w:r w:rsidRPr="006073DD">
        <w:rPr>
          <w:rFonts w:ascii="Arial" w:hAnsi="Arial" w:cs="Arial"/>
          <w:b/>
        </w:rPr>
        <w:t>. Obligaciones de las entidades públicas con relación a los fideicomisos constituidos con recursos del Estado.</w:t>
      </w:r>
      <w:r w:rsidRPr="006073DD">
        <w:rPr>
          <w:rFonts w:ascii="Arial" w:hAnsi="Arial" w:cs="Arial"/>
        </w:rPr>
        <w:t xml:space="preserve"> En adición a las obligaciones contenidas en el contrato de fideicomiso, las entidades responsables de los mismos deberán: </w:t>
      </w:r>
    </w:p>
    <w:p w:rsidR="00F81B16" w:rsidRDefault="00F81B16" w:rsidP="00BF4A05">
      <w:pPr>
        <w:spacing w:line="360" w:lineRule="auto"/>
        <w:jc w:val="both"/>
        <w:rPr>
          <w:rFonts w:ascii="Arial" w:hAnsi="Arial" w:cs="Arial"/>
        </w:rPr>
      </w:pPr>
    </w:p>
    <w:p w:rsidR="006073DD" w:rsidRPr="00CA5AD7" w:rsidRDefault="00BF4A05" w:rsidP="006073DD">
      <w:pPr>
        <w:pStyle w:val="Prrafodelista"/>
        <w:numPr>
          <w:ilvl w:val="0"/>
          <w:numId w:val="2"/>
        </w:numPr>
        <w:spacing w:line="360" w:lineRule="auto"/>
        <w:jc w:val="both"/>
        <w:rPr>
          <w:rFonts w:ascii="Arial" w:hAnsi="Arial" w:cs="Arial"/>
          <w:b/>
        </w:rPr>
      </w:pPr>
      <w:r w:rsidRPr="006073DD">
        <w:rPr>
          <w:rFonts w:ascii="Arial" w:hAnsi="Arial" w:cs="Arial"/>
        </w:rPr>
        <w:t xml:space="preserve">Obtener dictamen del Ministerio de Finanzas Públicas, a través de la Dirección de Fideicomisos, previo a constituir, modificar o extinguir los contratos de fideicomiso. </w:t>
      </w:r>
      <w:bookmarkStart w:id="0" w:name="_GoBack"/>
      <w:bookmarkEnd w:id="0"/>
    </w:p>
    <w:p w:rsidR="00CA5AD7" w:rsidRPr="006073DD" w:rsidRDefault="00CA5AD7" w:rsidP="00CA5AD7">
      <w:pPr>
        <w:pStyle w:val="Prrafodelista"/>
        <w:spacing w:line="360" w:lineRule="auto"/>
        <w:jc w:val="both"/>
        <w:rPr>
          <w:rFonts w:ascii="Arial" w:hAnsi="Arial" w:cs="Arial"/>
          <w:b/>
        </w:rPr>
      </w:pPr>
    </w:p>
    <w:p w:rsidR="006073DD" w:rsidRPr="00C87572" w:rsidRDefault="00BF4A05" w:rsidP="006073DD">
      <w:pPr>
        <w:pStyle w:val="Prrafodelista"/>
        <w:numPr>
          <w:ilvl w:val="0"/>
          <w:numId w:val="2"/>
        </w:numPr>
        <w:spacing w:line="360" w:lineRule="auto"/>
        <w:jc w:val="both"/>
        <w:rPr>
          <w:rFonts w:ascii="Arial" w:hAnsi="Arial" w:cs="Arial"/>
          <w:b/>
        </w:rPr>
      </w:pPr>
      <w:r w:rsidRPr="006073DD">
        <w:rPr>
          <w:rFonts w:ascii="Arial" w:hAnsi="Arial" w:cs="Arial"/>
        </w:rPr>
        <w:t xml:space="preserve">Hasta la liquidación del fideicomiso: </w:t>
      </w:r>
    </w:p>
    <w:p w:rsidR="00C87572" w:rsidRPr="00C87572" w:rsidRDefault="00C87572" w:rsidP="00C87572">
      <w:pPr>
        <w:pStyle w:val="Prrafodelista"/>
        <w:rPr>
          <w:rFonts w:ascii="Arial" w:hAnsi="Arial" w:cs="Arial"/>
          <w:b/>
        </w:rPr>
      </w:pPr>
    </w:p>
    <w:p w:rsidR="006073DD" w:rsidRPr="00C87572" w:rsidRDefault="00BF4A05" w:rsidP="006073DD">
      <w:pPr>
        <w:pStyle w:val="Prrafodelista"/>
        <w:numPr>
          <w:ilvl w:val="1"/>
          <w:numId w:val="2"/>
        </w:numPr>
        <w:spacing w:line="360" w:lineRule="auto"/>
        <w:jc w:val="both"/>
        <w:rPr>
          <w:rFonts w:ascii="Arial" w:hAnsi="Arial" w:cs="Arial"/>
          <w:b/>
        </w:rPr>
      </w:pPr>
      <w:r w:rsidRPr="006073DD">
        <w:rPr>
          <w:rFonts w:ascii="Arial" w:hAnsi="Arial" w:cs="Arial"/>
        </w:rPr>
        <w:t xml:space="preserve">Remitir mensualmente los estados financieros definitivos al Ministerio de Finanzas Públicas, a través de la Dirección de Fideicomisos, al Congreso de la República de Guatemala y a la Contraloría General de Cuentas, por medios informáticos y otros que se establezcan, dentro de los primeros quince (15) días calendario del mes siguiente. </w:t>
      </w:r>
    </w:p>
    <w:p w:rsidR="00C87572" w:rsidRPr="006073DD" w:rsidRDefault="00C87572" w:rsidP="00C87572">
      <w:pPr>
        <w:pStyle w:val="Prrafodelista"/>
        <w:spacing w:line="360" w:lineRule="auto"/>
        <w:ind w:left="1440"/>
        <w:jc w:val="both"/>
        <w:rPr>
          <w:rFonts w:ascii="Arial" w:hAnsi="Arial" w:cs="Arial"/>
          <w:b/>
        </w:rPr>
      </w:pPr>
    </w:p>
    <w:p w:rsidR="006073DD" w:rsidRPr="00C87572" w:rsidRDefault="00BF4A05" w:rsidP="006073DD">
      <w:pPr>
        <w:pStyle w:val="Prrafodelista"/>
        <w:numPr>
          <w:ilvl w:val="1"/>
          <w:numId w:val="2"/>
        </w:numPr>
        <w:spacing w:line="360" w:lineRule="auto"/>
        <w:jc w:val="both"/>
        <w:rPr>
          <w:rFonts w:ascii="Arial" w:hAnsi="Arial" w:cs="Arial"/>
          <w:b/>
        </w:rPr>
      </w:pPr>
      <w:r w:rsidRPr="006073DD">
        <w:rPr>
          <w:rFonts w:ascii="Arial" w:hAnsi="Arial" w:cs="Arial"/>
        </w:rPr>
        <w:t xml:space="preserve">Requerir al fiduciario y poner a disposición de la Contraloría General de Cuentas, los órganos competentes del Ministerio de Finanzas Públicas y las Unidades de Auditoría Interna de la institución que ejerza la representación del Estado como fideicomitente, la documentación relativa a las operaciones del fideicomiso, cuando dichas instituciones lo soliciten por escrito. </w:t>
      </w:r>
    </w:p>
    <w:p w:rsidR="00C87572" w:rsidRPr="00C87572" w:rsidRDefault="00C87572" w:rsidP="00C87572">
      <w:pPr>
        <w:pStyle w:val="Prrafodelista"/>
        <w:rPr>
          <w:rFonts w:ascii="Arial" w:hAnsi="Arial" w:cs="Arial"/>
          <w:b/>
        </w:rPr>
      </w:pPr>
    </w:p>
    <w:p w:rsidR="006073DD" w:rsidRPr="00AE1E02" w:rsidRDefault="00BF4A05" w:rsidP="006073DD">
      <w:pPr>
        <w:pStyle w:val="Prrafodelista"/>
        <w:numPr>
          <w:ilvl w:val="1"/>
          <w:numId w:val="2"/>
        </w:numPr>
        <w:spacing w:line="360" w:lineRule="auto"/>
        <w:jc w:val="both"/>
        <w:rPr>
          <w:rFonts w:ascii="Arial" w:hAnsi="Arial" w:cs="Arial"/>
          <w:b/>
        </w:rPr>
      </w:pPr>
      <w:r w:rsidRPr="006073DD">
        <w:rPr>
          <w:rFonts w:ascii="Arial" w:hAnsi="Arial" w:cs="Arial"/>
        </w:rPr>
        <w:t xml:space="preserve">Regularizar los bienes que se adquieran con los fondos del fideicomiso, de acuerdo a la normativa vigente. </w:t>
      </w:r>
    </w:p>
    <w:p w:rsidR="00AE1E02" w:rsidRDefault="00AE1E02" w:rsidP="00AE1E02">
      <w:pPr>
        <w:pStyle w:val="Prrafodelista"/>
        <w:rPr>
          <w:rFonts w:ascii="Arial" w:hAnsi="Arial" w:cs="Arial"/>
          <w:b/>
        </w:rPr>
      </w:pPr>
    </w:p>
    <w:p w:rsidR="002E07A1" w:rsidRDefault="002E07A1" w:rsidP="00AE1E02">
      <w:pPr>
        <w:pStyle w:val="Prrafodelista"/>
        <w:rPr>
          <w:rFonts w:ascii="Arial" w:hAnsi="Arial" w:cs="Arial"/>
          <w:b/>
        </w:rPr>
      </w:pPr>
    </w:p>
    <w:p w:rsidR="002E07A1" w:rsidRDefault="002E07A1" w:rsidP="00AE1E02">
      <w:pPr>
        <w:pStyle w:val="Prrafodelista"/>
        <w:rPr>
          <w:rFonts w:ascii="Arial" w:hAnsi="Arial" w:cs="Arial"/>
          <w:b/>
        </w:rPr>
      </w:pPr>
    </w:p>
    <w:p w:rsidR="002E07A1" w:rsidRPr="00AE1E02" w:rsidRDefault="002E07A1" w:rsidP="00AE1E02">
      <w:pPr>
        <w:pStyle w:val="Prrafodelista"/>
        <w:rPr>
          <w:rFonts w:ascii="Arial" w:hAnsi="Arial" w:cs="Arial"/>
          <w:b/>
        </w:rPr>
      </w:pPr>
    </w:p>
    <w:p w:rsidR="00AE1E02" w:rsidRPr="002E07A1" w:rsidRDefault="00AE1E02" w:rsidP="006073DD">
      <w:pPr>
        <w:pStyle w:val="Prrafodelista"/>
        <w:numPr>
          <w:ilvl w:val="1"/>
          <w:numId w:val="2"/>
        </w:numPr>
        <w:spacing w:line="360" w:lineRule="auto"/>
        <w:jc w:val="both"/>
        <w:rPr>
          <w:rFonts w:ascii="Arial" w:hAnsi="Arial" w:cs="Arial"/>
        </w:rPr>
      </w:pPr>
      <w:r w:rsidRPr="002E07A1">
        <w:rPr>
          <w:rFonts w:ascii="Arial" w:hAnsi="Arial" w:cs="Arial"/>
        </w:rPr>
        <w:lastRenderedPageBreak/>
        <w:t xml:space="preserve">Informar trimestralmente al Congreso de la República, Contraloría General de Cuentas y Dirección de Fideicomisos del Ministerio de Finanzas Públicas, la situación de los procesos de extinción y liquidación de los fideicomisos de primer y segundo grado a su cargo. </w:t>
      </w:r>
    </w:p>
    <w:p w:rsidR="00AE1E02" w:rsidRPr="00AE1E02" w:rsidRDefault="00AE1E02" w:rsidP="00AE1E02">
      <w:pPr>
        <w:pStyle w:val="Prrafodelista"/>
        <w:rPr>
          <w:rFonts w:ascii="Arial" w:hAnsi="Arial" w:cs="Arial"/>
          <w:b/>
        </w:rPr>
      </w:pPr>
    </w:p>
    <w:p w:rsidR="006073DD" w:rsidRPr="00C87572" w:rsidRDefault="00BF4A05" w:rsidP="006073DD">
      <w:pPr>
        <w:pStyle w:val="Prrafodelista"/>
        <w:numPr>
          <w:ilvl w:val="0"/>
          <w:numId w:val="2"/>
        </w:numPr>
        <w:spacing w:line="360" w:lineRule="auto"/>
        <w:jc w:val="both"/>
        <w:rPr>
          <w:rFonts w:ascii="Arial" w:hAnsi="Arial" w:cs="Arial"/>
          <w:b/>
        </w:rPr>
      </w:pPr>
      <w:r w:rsidRPr="006073DD">
        <w:rPr>
          <w:rFonts w:ascii="Arial" w:hAnsi="Arial" w:cs="Arial"/>
        </w:rPr>
        <w:t xml:space="preserve">Cuando los fideicomisos se encuentren vigentes, las entidades responsables deberán, adición a las disposiciones anteriores: </w:t>
      </w:r>
    </w:p>
    <w:p w:rsidR="00C87572" w:rsidRPr="006073DD" w:rsidRDefault="00C87572" w:rsidP="00C87572">
      <w:pPr>
        <w:pStyle w:val="Prrafodelista"/>
        <w:spacing w:line="360" w:lineRule="auto"/>
        <w:jc w:val="both"/>
        <w:rPr>
          <w:rFonts w:ascii="Arial" w:hAnsi="Arial" w:cs="Arial"/>
          <w:b/>
        </w:rPr>
      </w:pPr>
    </w:p>
    <w:p w:rsidR="006073DD" w:rsidRPr="00CA5AD7" w:rsidRDefault="00BF4A05" w:rsidP="006073DD">
      <w:pPr>
        <w:pStyle w:val="Prrafodelista"/>
        <w:numPr>
          <w:ilvl w:val="1"/>
          <w:numId w:val="2"/>
        </w:numPr>
        <w:spacing w:line="360" w:lineRule="auto"/>
        <w:jc w:val="both"/>
        <w:rPr>
          <w:rFonts w:ascii="Arial" w:hAnsi="Arial" w:cs="Arial"/>
          <w:b/>
        </w:rPr>
      </w:pPr>
      <w:r w:rsidRPr="006073DD">
        <w:rPr>
          <w:rFonts w:ascii="Arial" w:hAnsi="Arial" w:cs="Arial"/>
        </w:rPr>
        <w:t xml:space="preserve">Ejercer el derecho de supervisar o auditar las actividades de los contratos de fideicomiso, de conformidad con lo establecido en los mismos. </w:t>
      </w:r>
    </w:p>
    <w:p w:rsidR="00CA5AD7" w:rsidRPr="006073DD" w:rsidRDefault="00CA5AD7" w:rsidP="00CA5AD7">
      <w:pPr>
        <w:pStyle w:val="Prrafodelista"/>
        <w:spacing w:line="360" w:lineRule="auto"/>
        <w:ind w:left="1440"/>
        <w:jc w:val="both"/>
        <w:rPr>
          <w:rFonts w:ascii="Arial" w:hAnsi="Arial" w:cs="Arial"/>
          <w:b/>
        </w:rPr>
      </w:pPr>
    </w:p>
    <w:p w:rsidR="00C87572" w:rsidRPr="00C87572" w:rsidRDefault="00BF4A05" w:rsidP="006073DD">
      <w:pPr>
        <w:pStyle w:val="Prrafodelista"/>
        <w:numPr>
          <w:ilvl w:val="1"/>
          <w:numId w:val="2"/>
        </w:numPr>
        <w:spacing w:line="360" w:lineRule="auto"/>
        <w:jc w:val="both"/>
        <w:rPr>
          <w:rFonts w:ascii="Arial" w:hAnsi="Arial" w:cs="Arial"/>
          <w:b/>
        </w:rPr>
      </w:pPr>
      <w:r w:rsidRPr="006073DD">
        <w:rPr>
          <w:rFonts w:ascii="Arial" w:hAnsi="Arial" w:cs="Arial"/>
        </w:rPr>
        <w:t>Elaborar informes cuatrimestrales de conformidad con la naturaleza del fideicomiso, utilizando los formatos que establezca el Ministerio de Finanzas Públicas.      </w:t>
      </w:r>
    </w:p>
    <w:p w:rsidR="006073DD" w:rsidRPr="00C87572" w:rsidRDefault="006073DD" w:rsidP="00C87572">
      <w:pPr>
        <w:spacing w:line="360" w:lineRule="auto"/>
        <w:jc w:val="both"/>
        <w:rPr>
          <w:rFonts w:ascii="Arial" w:hAnsi="Arial" w:cs="Arial"/>
          <w:b/>
        </w:rPr>
      </w:pPr>
    </w:p>
    <w:p w:rsidR="00382C1D" w:rsidRDefault="00BF4A05" w:rsidP="00C87572">
      <w:pPr>
        <w:spacing w:line="360" w:lineRule="auto"/>
        <w:jc w:val="both"/>
        <w:rPr>
          <w:rFonts w:ascii="Arial" w:hAnsi="Arial" w:cs="Arial"/>
        </w:rPr>
      </w:pPr>
      <w:r w:rsidRPr="006073DD">
        <w:rPr>
          <w:rFonts w:ascii="Arial" w:hAnsi="Arial" w:cs="Arial"/>
        </w:rPr>
        <w:t>Los informes deberán ser enviados en formato físico y electrónico a la Contraloría General de Cuentas, al Congreso de la República de Guatemala y al Ministerio de Finanzas Públicas, por conducto de la dirección de fideicomisos, dentro del mes siguiente al cierre de cada cuatrimestre, y deberán contener como mínimo:</w:t>
      </w:r>
    </w:p>
    <w:p w:rsidR="00953064" w:rsidRPr="00953064" w:rsidRDefault="00953064" w:rsidP="00953064">
      <w:pPr>
        <w:spacing w:line="360" w:lineRule="auto"/>
        <w:jc w:val="both"/>
        <w:rPr>
          <w:rFonts w:ascii="Arial" w:hAnsi="Arial" w:cs="Arial"/>
        </w:rPr>
      </w:pPr>
    </w:p>
    <w:p w:rsidR="00953064" w:rsidRPr="00953064" w:rsidRDefault="00953064" w:rsidP="00953064">
      <w:pPr>
        <w:pStyle w:val="Prrafodelista"/>
        <w:numPr>
          <w:ilvl w:val="0"/>
          <w:numId w:val="3"/>
        </w:numPr>
        <w:spacing w:line="360" w:lineRule="auto"/>
        <w:jc w:val="both"/>
        <w:rPr>
          <w:rFonts w:ascii="Arial" w:hAnsi="Arial" w:cs="Arial"/>
        </w:rPr>
      </w:pPr>
      <w:r w:rsidRPr="00953064">
        <w:rPr>
          <w:rFonts w:ascii="Arial" w:hAnsi="Arial" w:cs="Arial"/>
        </w:rPr>
        <w:t xml:space="preserve">Ejecución física y financiera de los fideicomisos; </w:t>
      </w:r>
    </w:p>
    <w:p w:rsidR="00953064" w:rsidRDefault="00953064" w:rsidP="00953064">
      <w:pPr>
        <w:spacing w:line="360" w:lineRule="auto"/>
        <w:ind w:left="709" w:hanging="349"/>
        <w:jc w:val="both"/>
        <w:rPr>
          <w:rFonts w:ascii="Arial" w:hAnsi="Arial" w:cs="Arial"/>
        </w:rPr>
      </w:pPr>
      <w:r w:rsidRPr="00953064">
        <w:rPr>
          <w:rFonts w:ascii="Arial" w:hAnsi="Arial" w:cs="Arial"/>
        </w:rPr>
        <w:t xml:space="preserve">ii. </w:t>
      </w:r>
      <w:r>
        <w:rPr>
          <w:rFonts w:ascii="Arial" w:hAnsi="Arial" w:cs="Arial"/>
        </w:rPr>
        <w:t xml:space="preserve">   </w:t>
      </w:r>
      <w:r w:rsidRPr="00953064">
        <w:rPr>
          <w:rFonts w:ascii="Arial" w:hAnsi="Arial" w:cs="Arial"/>
        </w:rPr>
        <w:t xml:space="preserve">Detalle de las adquisiciones, así como las contrataciones de bienes, servicios </w:t>
      </w:r>
      <w:r>
        <w:rPr>
          <w:rFonts w:ascii="Arial" w:hAnsi="Arial" w:cs="Arial"/>
        </w:rPr>
        <w:t xml:space="preserve">  </w:t>
      </w:r>
      <w:r w:rsidRPr="00953064">
        <w:rPr>
          <w:rFonts w:ascii="Arial" w:hAnsi="Arial" w:cs="Arial"/>
        </w:rPr>
        <w:t xml:space="preserve">u obras realizadas con fondos del fideicomiso y las obligaciones y compromisos financieros que están pendientes de pago y/o regularización al cierre de cada cuatrimestre; </w:t>
      </w:r>
    </w:p>
    <w:p w:rsidR="00AE1E02" w:rsidRDefault="00953064" w:rsidP="00953064">
      <w:pPr>
        <w:spacing w:line="360" w:lineRule="auto"/>
        <w:ind w:left="709" w:hanging="349"/>
        <w:jc w:val="both"/>
        <w:rPr>
          <w:rFonts w:ascii="Arial" w:hAnsi="Arial" w:cs="Arial"/>
        </w:rPr>
      </w:pPr>
      <w:r w:rsidRPr="00953064">
        <w:rPr>
          <w:rFonts w:ascii="Arial" w:hAnsi="Arial" w:cs="Arial"/>
        </w:rPr>
        <w:t xml:space="preserve">iii. </w:t>
      </w:r>
      <w:r>
        <w:rPr>
          <w:rFonts w:ascii="Arial" w:hAnsi="Arial" w:cs="Arial"/>
        </w:rPr>
        <w:t xml:space="preserve"> </w:t>
      </w:r>
      <w:r w:rsidRPr="00953064">
        <w:rPr>
          <w:rFonts w:ascii="Arial" w:hAnsi="Arial" w:cs="Arial"/>
        </w:rPr>
        <w:t xml:space="preserve">En el caso de los fideicomisos crediticios, un informe de la situación detallada de la cartera; </w:t>
      </w:r>
    </w:p>
    <w:p w:rsidR="00953064" w:rsidRDefault="00953064" w:rsidP="00953064">
      <w:pPr>
        <w:spacing w:line="360" w:lineRule="auto"/>
        <w:ind w:left="709" w:hanging="349"/>
        <w:jc w:val="both"/>
        <w:rPr>
          <w:rFonts w:ascii="Arial" w:hAnsi="Arial" w:cs="Arial"/>
        </w:rPr>
      </w:pPr>
      <w:proofErr w:type="spellStart"/>
      <w:r w:rsidRPr="00953064">
        <w:rPr>
          <w:rFonts w:ascii="Arial" w:hAnsi="Arial" w:cs="Arial"/>
        </w:rPr>
        <w:t>iv</w:t>
      </w:r>
      <w:proofErr w:type="spellEnd"/>
      <w:r w:rsidRPr="00953064">
        <w:rPr>
          <w:rFonts w:ascii="Arial" w:hAnsi="Arial" w:cs="Arial"/>
        </w:rPr>
        <w:t xml:space="preserve">. Documento narrativo sobre el cumplimiento de metas y calidad del gasto en el período de que se trate; </w:t>
      </w:r>
    </w:p>
    <w:p w:rsidR="00953064" w:rsidRDefault="00953064" w:rsidP="00953064">
      <w:pPr>
        <w:spacing w:line="360" w:lineRule="auto"/>
        <w:ind w:left="360"/>
        <w:jc w:val="both"/>
        <w:rPr>
          <w:rFonts w:ascii="Arial" w:hAnsi="Arial" w:cs="Arial"/>
        </w:rPr>
      </w:pPr>
      <w:r w:rsidRPr="00953064">
        <w:rPr>
          <w:rFonts w:ascii="Arial" w:hAnsi="Arial" w:cs="Arial"/>
        </w:rPr>
        <w:lastRenderedPageBreak/>
        <w:t xml:space="preserve">v.   Publicar dichos informes y los estados financieros en sus portales web. </w:t>
      </w:r>
    </w:p>
    <w:p w:rsidR="00953064" w:rsidRDefault="00953064" w:rsidP="00953064">
      <w:pPr>
        <w:spacing w:line="360" w:lineRule="auto"/>
        <w:ind w:left="360"/>
        <w:jc w:val="both"/>
        <w:rPr>
          <w:rFonts w:ascii="Arial" w:hAnsi="Arial" w:cs="Arial"/>
        </w:rPr>
      </w:pPr>
    </w:p>
    <w:p w:rsidR="00AE1E02" w:rsidRDefault="00953064" w:rsidP="00953064">
      <w:pPr>
        <w:pStyle w:val="Prrafodelista"/>
        <w:numPr>
          <w:ilvl w:val="1"/>
          <w:numId w:val="2"/>
        </w:numPr>
        <w:spacing w:line="360" w:lineRule="auto"/>
        <w:jc w:val="both"/>
        <w:rPr>
          <w:rFonts w:ascii="Arial" w:hAnsi="Arial" w:cs="Arial"/>
        </w:rPr>
      </w:pPr>
      <w:r w:rsidRPr="00953064">
        <w:rPr>
          <w:rFonts w:ascii="Arial" w:hAnsi="Arial" w:cs="Arial"/>
        </w:rPr>
        <w:t xml:space="preserve">Publicar los informes cuatrimestrales a los que se refiere la literal anterior y los estados financieros, en el portal web de la entidad responsable. </w:t>
      </w:r>
    </w:p>
    <w:p w:rsidR="00AE1E02" w:rsidRDefault="00AE1E02" w:rsidP="00953064">
      <w:pPr>
        <w:pStyle w:val="Prrafodelista"/>
        <w:numPr>
          <w:ilvl w:val="1"/>
          <w:numId w:val="2"/>
        </w:numPr>
        <w:spacing w:line="360" w:lineRule="auto"/>
        <w:jc w:val="both"/>
        <w:rPr>
          <w:rFonts w:ascii="Arial" w:hAnsi="Arial" w:cs="Arial"/>
        </w:rPr>
      </w:pPr>
      <w:r>
        <w:rPr>
          <w:rFonts w:ascii="Arial" w:hAnsi="Arial" w:cs="Arial"/>
        </w:rPr>
        <w:t xml:space="preserve">La Dirección de Fideicomisos publicará la información consolidada, en el portal web del Ministerio de Finanzas Públicas, con base en la información que le remitan los entes responsables. </w:t>
      </w:r>
    </w:p>
    <w:p w:rsidR="00CA5AD7" w:rsidRPr="00AE1E02" w:rsidRDefault="00AE1E02" w:rsidP="00CA5AD7">
      <w:pPr>
        <w:pStyle w:val="Prrafodelista"/>
        <w:numPr>
          <w:ilvl w:val="1"/>
          <w:numId w:val="2"/>
        </w:numPr>
        <w:spacing w:line="360" w:lineRule="auto"/>
        <w:jc w:val="both"/>
        <w:rPr>
          <w:rFonts w:ascii="Arial" w:hAnsi="Arial" w:cs="Arial"/>
        </w:rPr>
      </w:pPr>
      <w:r w:rsidRPr="00AE1E02">
        <w:rPr>
          <w:rFonts w:ascii="Arial" w:hAnsi="Arial" w:cs="Arial"/>
        </w:rPr>
        <w:t xml:space="preserve">Las publicaciones a que hacen referencia las literales c) y d) anteriores deberán realizarse dentro de los treinta (30) días hábiles siguientes al vencimiento del plazo de la obligación. </w:t>
      </w:r>
    </w:p>
    <w:p w:rsidR="00AE1E02" w:rsidRPr="00AE1E02" w:rsidRDefault="00953064" w:rsidP="00953064">
      <w:pPr>
        <w:pStyle w:val="Prrafodelista"/>
        <w:numPr>
          <w:ilvl w:val="1"/>
          <w:numId w:val="2"/>
        </w:numPr>
        <w:spacing w:line="360" w:lineRule="auto"/>
        <w:jc w:val="both"/>
        <w:rPr>
          <w:rFonts w:ascii="Arial" w:hAnsi="Arial" w:cs="Arial"/>
          <w:b/>
        </w:rPr>
      </w:pPr>
      <w:r w:rsidRPr="00953064">
        <w:rPr>
          <w:rFonts w:ascii="Arial" w:hAnsi="Arial" w:cs="Arial"/>
        </w:rPr>
        <w:t xml:space="preserve">Requerir al fiduciario y poner a disposición de la Dirección de Contabilidad del Estado, Dirección Financiera y otras dependencias del Ministerio de Finanzas Públicas que lo requieran, la documentación de respaldo de las operaciones financieras, contables y de cartera efectuadas por el fideicomiso, para los efectos que corresponda según la normativa específica vigente. </w:t>
      </w:r>
    </w:p>
    <w:p w:rsidR="00CA5AD7" w:rsidRPr="00CA5AD7" w:rsidRDefault="00953064" w:rsidP="00953064">
      <w:pPr>
        <w:pStyle w:val="Prrafodelista"/>
        <w:numPr>
          <w:ilvl w:val="1"/>
          <w:numId w:val="2"/>
        </w:numPr>
        <w:spacing w:line="360" w:lineRule="auto"/>
        <w:jc w:val="both"/>
        <w:rPr>
          <w:rFonts w:ascii="Arial" w:hAnsi="Arial" w:cs="Arial"/>
          <w:b/>
        </w:rPr>
      </w:pPr>
      <w:r w:rsidRPr="00953064">
        <w:rPr>
          <w:rFonts w:ascii="Arial" w:hAnsi="Arial" w:cs="Arial"/>
        </w:rPr>
        <w:t xml:space="preserve">Se exceptúan de esta obligación, los aportes que por disposición legal se reciban del presupuesto General de Ingresos y Egresos del Estado en calidad de transferencia. </w:t>
      </w:r>
    </w:p>
    <w:p w:rsidR="00953064" w:rsidRPr="007F0B2B" w:rsidRDefault="00953064" w:rsidP="00953064">
      <w:pPr>
        <w:pStyle w:val="Prrafodelista"/>
        <w:numPr>
          <w:ilvl w:val="1"/>
          <w:numId w:val="2"/>
        </w:numPr>
        <w:spacing w:line="360" w:lineRule="auto"/>
        <w:jc w:val="both"/>
        <w:rPr>
          <w:rFonts w:ascii="Arial" w:hAnsi="Arial" w:cs="Arial"/>
          <w:b/>
        </w:rPr>
      </w:pPr>
      <w:r w:rsidRPr="00953064">
        <w:rPr>
          <w:rFonts w:ascii="Arial" w:hAnsi="Arial" w:cs="Arial"/>
        </w:rPr>
        <w:t>Registrar cuando corresponda, la información relativa los proyectos de inversión y su avance físico y financiero en el Sistema de Info</w:t>
      </w:r>
      <w:r w:rsidR="00CA5AD7">
        <w:rPr>
          <w:rFonts w:ascii="Arial" w:hAnsi="Arial" w:cs="Arial"/>
        </w:rPr>
        <w:t>rmación de Inversión Pública (SNIP</w:t>
      </w:r>
      <w:r w:rsidRPr="00953064">
        <w:rPr>
          <w:rFonts w:ascii="Arial" w:hAnsi="Arial" w:cs="Arial"/>
        </w:rPr>
        <w:t>), conforme a la legislación y normativa vigente.</w:t>
      </w:r>
    </w:p>
    <w:p w:rsidR="007F0B2B" w:rsidRPr="007F0B2B" w:rsidRDefault="007F0B2B" w:rsidP="007F0B2B">
      <w:pPr>
        <w:pStyle w:val="Prrafodelista"/>
        <w:rPr>
          <w:rFonts w:ascii="Arial" w:hAnsi="Arial" w:cs="Arial"/>
          <w:b/>
        </w:rPr>
      </w:pPr>
    </w:p>
    <w:p w:rsidR="007F0B2B" w:rsidRPr="007F0B2B" w:rsidRDefault="007F0B2B" w:rsidP="007F0B2B">
      <w:pPr>
        <w:spacing w:line="360" w:lineRule="auto"/>
        <w:jc w:val="both"/>
        <w:rPr>
          <w:rFonts w:ascii="Arial" w:hAnsi="Arial" w:cs="Arial"/>
          <w:b/>
        </w:rPr>
      </w:pPr>
      <w:r>
        <w:rPr>
          <w:rFonts w:ascii="Arial" w:hAnsi="Arial" w:cs="Arial"/>
          <w:b/>
        </w:rPr>
        <w:t xml:space="preserve">(Artículo 3 Inciso C) Por lo anteriormente precitado se hace saber que dentro del Sistema de Contabilidad Integrada SICOIN, la Vicepresidencia de la República, no maneja fondos en fideicomisos constituidos con recursos del Estado. </w:t>
      </w:r>
    </w:p>
    <w:sectPr w:rsidR="007F0B2B" w:rsidRPr="007F0B2B" w:rsidSect="00500E38">
      <w:headerReference w:type="default" r:id="rId7"/>
      <w:footerReference w:type="default" r:id="rId8"/>
      <w:pgSz w:w="12240" w:h="15840"/>
      <w:pgMar w:top="21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141" w:rsidRDefault="002A2141" w:rsidP="005B1EDE">
      <w:r>
        <w:separator/>
      </w:r>
    </w:p>
  </w:endnote>
  <w:endnote w:type="continuationSeparator" w:id="0">
    <w:p w:rsidR="002A2141" w:rsidRDefault="002A2141" w:rsidP="005B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tivo Light">
    <w:charset w:val="00"/>
    <w:family w:val="swiss"/>
    <w:notTrueType/>
    <w:pitch w:val="variable"/>
    <w:sig w:usb0="A00000EF" w:usb1="5000205B" w:usb2="00000000" w:usb3="00000000" w:csb0="0000009B" w:csb1="00000000"/>
  </w:font>
  <w:font w:name="Altivo Regular">
    <w:charset w:val="00"/>
    <w:family w:val="swiss"/>
    <w:notTrueType/>
    <w:pitch w:val="variable"/>
    <w:sig w:usb0="A00000E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7A1" w:rsidRDefault="002E07A1">
    <w:pPr>
      <w:pStyle w:val="Piedepgina"/>
    </w:pPr>
    <w:r w:rsidRPr="002E07A1">
      <w:rPr>
        <w:noProof/>
      </w:rPr>
      <w:drawing>
        <wp:anchor distT="0" distB="0" distL="114300" distR="114300" simplePos="0" relativeHeight="251660288" behindDoc="0" locked="0" layoutInCell="1" allowOverlap="1" wp14:anchorId="4478E7DB" wp14:editId="6D639C04">
          <wp:simplePos x="0" y="0"/>
          <wp:positionH relativeFrom="margin">
            <wp:posOffset>635</wp:posOffset>
          </wp:positionH>
          <wp:positionV relativeFrom="paragraph">
            <wp:posOffset>-278130</wp:posOffset>
          </wp:positionV>
          <wp:extent cx="5612130" cy="59690"/>
          <wp:effectExtent l="0" t="0" r="762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ra.wmf"/>
                  <pic:cNvPicPr/>
                </pic:nvPicPr>
                <pic:blipFill>
                  <a:blip r:embed="rId1">
                    <a:extLst>
                      <a:ext uri="{28A0092B-C50C-407E-A947-70E740481C1C}">
                        <a14:useLocalDpi xmlns:a14="http://schemas.microsoft.com/office/drawing/2010/main" val="0"/>
                      </a:ext>
                    </a:extLst>
                  </a:blip>
                  <a:stretch>
                    <a:fillRect/>
                  </a:stretch>
                </pic:blipFill>
                <pic:spPr>
                  <a:xfrm>
                    <a:off x="0" y="0"/>
                    <a:ext cx="5612130" cy="59690"/>
                  </a:xfrm>
                  <a:prstGeom prst="rect">
                    <a:avLst/>
                  </a:prstGeom>
                </pic:spPr>
              </pic:pic>
            </a:graphicData>
          </a:graphic>
          <wp14:sizeRelH relativeFrom="page">
            <wp14:pctWidth>0</wp14:pctWidth>
          </wp14:sizeRelH>
          <wp14:sizeRelV relativeFrom="page">
            <wp14:pctHeight>0</wp14:pctHeight>
          </wp14:sizeRelV>
        </wp:anchor>
      </w:drawing>
    </w:r>
    <w:r w:rsidRPr="002E07A1">
      <w:rPr>
        <w:noProof/>
      </w:rPr>
      <mc:AlternateContent>
        <mc:Choice Requires="wps">
          <w:drawing>
            <wp:anchor distT="0" distB="0" distL="114300" distR="114300" simplePos="0" relativeHeight="251659264" behindDoc="0" locked="0" layoutInCell="1" allowOverlap="1" wp14:anchorId="3A9F7CA4" wp14:editId="137D7CDE">
              <wp:simplePos x="0" y="0"/>
              <wp:positionH relativeFrom="margin">
                <wp:posOffset>0</wp:posOffset>
              </wp:positionH>
              <wp:positionV relativeFrom="paragraph">
                <wp:posOffset>-232893</wp:posOffset>
              </wp:positionV>
              <wp:extent cx="4290365" cy="566928"/>
              <wp:effectExtent l="0" t="0" r="0" b="5080"/>
              <wp:wrapNone/>
              <wp:docPr id="3" name="Cuadro de texto 3"/>
              <wp:cNvGraphicFramePr/>
              <a:graphic xmlns:a="http://schemas.openxmlformats.org/drawingml/2006/main">
                <a:graphicData uri="http://schemas.microsoft.com/office/word/2010/wordprocessingShape">
                  <wps:wsp>
                    <wps:cNvSpPr txBox="1"/>
                    <wps:spPr>
                      <a:xfrm>
                        <a:off x="0" y="0"/>
                        <a:ext cx="4290365" cy="566928"/>
                      </a:xfrm>
                      <a:prstGeom prst="rect">
                        <a:avLst/>
                      </a:prstGeom>
                      <a:noFill/>
                      <a:ln w="6350">
                        <a:noFill/>
                      </a:ln>
                    </wps:spPr>
                    <wps:txbx>
                      <w:txbxContent>
                        <w:p w:rsidR="002E07A1" w:rsidRPr="00BD597F" w:rsidRDefault="002E07A1" w:rsidP="002E07A1">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rsidR="002E07A1" w:rsidRPr="00BD597F" w:rsidRDefault="002E07A1" w:rsidP="002E07A1">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rsidR="002E07A1" w:rsidRPr="00BD597F" w:rsidRDefault="002E07A1" w:rsidP="002E07A1">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 </w:t>
                          </w:r>
                          <w:proofErr w:type="spellStart"/>
                          <w:r>
                            <w:rPr>
                              <w:rFonts w:ascii="Altivo Light" w:hAnsi="Altivo Light"/>
                              <w:color w:val="0E1538"/>
                              <w:sz w:val="18"/>
                              <w:szCs w:val="18"/>
                              <w14:textOutline w14:w="9525" w14:cap="rnd" w14:cmpd="sng" w14:algn="ctr">
                                <w14:noFill/>
                                <w14:prstDash w14:val="solid"/>
                                <w14:bevel/>
                              </w14:textOutline>
                            </w:rPr>
                            <w:t>Vic</w:t>
                          </w:r>
                          <w:r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F7CA4" id="_x0000_t202" coordsize="21600,21600" o:spt="202" path="m,l,21600r21600,l21600,xe">
              <v:stroke joinstyle="miter"/>
              <v:path gradientshapeok="t" o:connecttype="rect"/>
            </v:shapetype>
            <v:shape id="Cuadro de texto 3" o:spid="_x0000_s1026" type="#_x0000_t202" style="position:absolute;margin-left:0;margin-top:-18.35pt;width:337.8pt;height:4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" filled="f" stroked="f" strokeweight=".5pt">
              <v:textbox>
                <w:txbxContent>
                  <w:p w:rsidR="002E07A1" w:rsidRPr="00BD597F" w:rsidRDefault="002E07A1" w:rsidP="002E07A1">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rsidR="002E07A1" w:rsidRPr="00BD597F" w:rsidRDefault="002E07A1" w:rsidP="002E07A1">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rsidR="002E07A1" w:rsidRPr="00BD597F" w:rsidRDefault="002E07A1" w:rsidP="002E07A1">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 </w:t>
                    </w:r>
                    <w:proofErr w:type="spellStart"/>
                    <w:r>
                      <w:rPr>
                        <w:rFonts w:ascii="Altivo Light" w:hAnsi="Altivo Light"/>
                        <w:color w:val="0E1538"/>
                        <w:sz w:val="18"/>
                        <w:szCs w:val="18"/>
                        <w14:textOutline w14:w="9525" w14:cap="rnd" w14:cmpd="sng" w14:algn="ctr">
                          <w14:noFill/>
                          <w14:prstDash w14:val="solid"/>
                          <w14:bevel/>
                        </w14:textOutline>
                      </w:rPr>
                      <w:t>Vic</w:t>
                    </w:r>
                    <w:r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141" w:rsidRDefault="002A2141" w:rsidP="005B1EDE">
      <w:r>
        <w:separator/>
      </w:r>
    </w:p>
  </w:footnote>
  <w:footnote w:type="continuationSeparator" w:id="0">
    <w:p w:rsidR="002A2141" w:rsidRDefault="002A2141" w:rsidP="005B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EDE" w:rsidRDefault="002E07A1">
    <w:pPr>
      <w:pStyle w:val="Encabezado"/>
    </w:pPr>
    <w:r>
      <w:rPr>
        <w:noProof/>
      </w:rPr>
      <w:drawing>
        <wp:inline distT="0" distB="0" distL="0" distR="0" wp14:anchorId="1C517DCD" wp14:editId="7D53DB04">
          <wp:extent cx="2909570" cy="702537"/>
          <wp:effectExtent l="0" t="0" r="508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rtaword.wmf"/>
                  <pic:cNvPicPr/>
                </pic:nvPicPr>
                <pic:blipFill>
                  <a:blip r:embed="rId1">
                    <a:extLst>
                      <a:ext uri="{28A0092B-C50C-407E-A947-70E740481C1C}">
                        <a14:useLocalDpi xmlns:a14="http://schemas.microsoft.com/office/drawing/2010/main" val="0"/>
                      </a:ext>
                    </a:extLst>
                  </a:blip>
                  <a:stretch>
                    <a:fillRect/>
                  </a:stretch>
                </pic:blipFill>
                <pic:spPr>
                  <a:xfrm>
                    <a:off x="0" y="0"/>
                    <a:ext cx="2976978" cy="718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040AF"/>
    <w:multiLevelType w:val="hybridMultilevel"/>
    <w:tmpl w:val="0F769480"/>
    <w:lvl w:ilvl="0" w:tplc="100A000F">
      <w:start w:val="1"/>
      <w:numFmt w:val="decimal"/>
      <w:lvlText w:val="%1."/>
      <w:lvlJc w:val="left"/>
      <w:pPr>
        <w:ind w:left="720" w:hanging="360"/>
      </w:pPr>
      <w:rPr>
        <w:rFonts w:hint="default"/>
        <w:b w:val="0"/>
      </w:rPr>
    </w:lvl>
    <w:lvl w:ilvl="1" w:tplc="995AACA6">
      <w:start w:val="1"/>
      <w:numFmt w:val="lowerLetter"/>
      <w:lvlText w:val="%2."/>
      <w:lvlJc w:val="left"/>
      <w:pPr>
        <w:ind w:left="1440" w:hanging="360"/>
      </w:pPr>
      <w:rPr>
        <w:b/>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42C54CAA"/>
    <w:multiLevelType w:val="hybridMultilevel"/>
    <w:tmpl w:val="9A5C355E"/>
    <w:lvl w:ilvl="0" w:tplc="173E2EA2">
      <w:start w:val="3"/>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53681023"/>
    <w:multiLevelType w:val="hybridMultilevel"/>
    <w:tmpl w:val="A380DA4E"/>
    <w:lvl w:ilvl="0" w:tplc="100A0019">
      <w:start w:val="1"/>
      <w:numFmt w:val="lowerLetter"/>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3" w15:restartNumberingAfterBreak="0">
    <w:nsid w:val="5B0F0C3E"/>
    <w:multiLevelType w:val="hybridMultilevel"/>
    <w:tmpl w:val="46D4BC7E"/>
    <w:lvl w:ilvl="0" w:tplc="100A0019">
      <w:start w:val="9"/>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77706546"/>
    <w:multiLevelType w:val="hybridMultilevel"/>
    <w:tmpl w:val="E370FC7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EDE"/>
    <w:rsid w:val="00002C7A"/>
    <w:rsid w:val="00010E85"/>
    <w:rsid w:val="00027FD2"/>
    <w:rsid w:val="000A7903"/>
    <w:rsid w:val="000D7F56"/>
    <w:rsid w:val="001B73CB"/>
    <w:rsid w:val="001D7C7F"/>
    <w:rsid w:val="00200E23"/>
    <w:rsid w:val="00211CFB"/>
    <w:rsid w:val="00233496"/>
    <w:rsid w:val="002947CD"/>
    <w:rsid w:val="002A2141"/>
    <w:rsid w:val="002A3C67"/>
    <w:rsid w:val="002B5F23"/>
    <w:rsid w:val="002E07A1"/>
    <w:rsid w:val="002E3D46"/>
    <w:rsid w:val="002E7F58"/>
    <w:rsid w:val="00321701"/>
    <w:rsid w:val="00366C1A"/>
    <w:rsid w:val="00382C1D"/>
    <w:rsid w:val="003946C8"/>
    <w:rsid w:val="003D3BFF"/>
    <w:rsid w:val="00403FF7"/>
    <w:rsid w:val="004B1A74"/>
    <w:rsid w:val="004C5A6F"/>
    <w:rsid w:val="00500E38"/>
    <w:rsid w:val="005232ED"/>
    <w:rsid w:val="00537FDD"/>
    <w:rsid w:val="005A0F84"/>
    <w:rsid w:val="005B1EDE"/>
    <w:rsid w:val="005F50A9"/>
    <w:rsid w:val="005F7E69"/>
    <w:rsid w:val="006073DD"/>
    <w:rsid w:val="006D5AF7"/>
    <w:rsid w:val="006F3CE3"/>
    <w:rsid w:val="00730A44"/>
    <w:rsid w:val="007677DF"/>
    <w:rsid w:val="007A744E"/>
    <w:rsid w:val="007B5CF3"/>
    <w:rsid w:val="007D2341"/>
    <w:rsid w:val="007E4B66"/>
    <w:rsid w:val="007F0B2B"/>
    <w:rsid w:val="007F0C21"/>
    <w:rsid w:val="00801937"/>
    <w:rsid w:val="00867DF7"/>
    <w:rsid w:val="0089769F"/>
    <w:rsid w:val="008A0885"/>
    <w:rsid w:val="00953064"/>
    <w:rsid w:val="0098521F"/>
    <w:rsid w:val="009919DF"/>
    <w:rsid w:val="009C6E97"/>
    <w:rsid w:val="00A26DF9"/>
    <w:rsid w:val="00A4422D"/>
    <w:rsid w:val="00A65FA8"/>
    <w:rsid w:val="00AB52D2"/>
    <w:rsid w:val="00AD7F4E"/>
    <w:rsid w:val="00AE1E02"/>
    <w:rsid w:val="00BF4A05"/>
    <w:rsid w:val="00C87572"/>
    <w:rsid w:val="00CA5AD7"/>
    <w:rsid w:val="00D027FD"/>
    <w:rsid w:val="00D41D91"/>
    <w:rsid w:val="00D51AC2"/>
    <w:rsid w:val="00D820E1"/>
    <w:rsid w:val="00E5651D"/>
    <w:rsid w:val="00EA46E6"/>
    <w:rsid w:val="00EB221C"/>
    <w:rsid w:val="00ED3DD7"/>
    <w:rsid w:val="00EF0037"/>
    <w:rsid w:val="00F13C6E"/>
    <w:rsid w:val="00F74D3C"/>
    <w:rsid w:val="00F81B16"/>
    <w:rsid w:val="00FC004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9E389"/>
  <w15:chartTrackingRefBased/>
  <w15:docId w15:val="{D46E0FE1-E827-624B-B8E3-6530F7A4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1EDE"/>
    <w:pPr>
      <w:tabs>
        <w:tab w:val="center" w:pos="4419"/>
        <w:tab w:val="right" w:pos="8838"/>
      </w:tabs>
    </w:pPr>
  </w:style>
  <w:style w:type="character" w:customStyle="1" w:styleId="EncabezadoCar">
    <w:name w:val="Encabezado Car"/>
    <w:basedOn w:val="Fuentedeprrafopredeter"/>
    <w:link w:val="Encabezado"/>
    <w:uiPriority w:val="99"/>
    <w:rsid w:val="005B1EDE"/>
    <w:rPr>
      <w:lang w:val="es-ES_tradnl"/>
    </w:rPr>
  </w:style>
  <w:style w:type="paragraph" w:styleId="Piedepgina">
    <w:name w:val="footer"/>
    <w:basedOn w:val="Normal"/>
    <w:link w:val="PiedepginaCar"/>
    <w:uiPriority w:val="99"/>
    <w:unhideWhenUsed/>
    <w:rsid w:val="005B1EDE"/>
    <w:pPr>
      <w:tabs>
        <w:tab w:val="center" w:pos="4419"/>
        <w:tab w:val="right" w:pos="8838"/>
      </w:tabs>
    </w:pPr>
  </w:style>
  <w:style w:type="character" w:customStyle="1" w:styleId="PiedepginaCar">
    <w:name w:val="Pie de página Car"/>
    <w:basedOn w:val="Fuentedeprrafopredeter"/>
    <w:link w:val="Piedepgina"/>
    <w:uiPriority w:val="99"/>
    <w:rsid w:val="005B1EDE"/>
    <w:rPr>
      <w:lang w:val="es-ES_tradnl"/>
    </w:rPr>
  </w:style>
  <w:style w:type="paragraph" w:styleId="Prrafodelista">
    <w:name w:val="List Paragraph"/>
    <w:basedOn w:val="Normal"/>
    <w:uiPriority w:val="34"/>
    <w:qFormat/>
    <w:rsid w:val="001D7C7F"/>
    <w:pPr>
      <w:ind w:left="720"/>
      <w:contextualSpacing/>
    </w:pPr>
  </w:style>
  <w:style w:type="paragraph" w:styleId="Textodeglobo">
    <w:name w:val="Balloon Text"/>
    <w:basedOn w:val="Normal"/>
    <w:link w:val="TextodegloboCar"/>
    <w:uiPriority w:val="99"/>
    <w:semiHidden/>
    <w:unhideWhenUsed/>
    <w:rsid w:val="00537F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7FDD"/>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680</Words>
  <Characters>3743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Lourdes Ixpata</cp:lastModifiedBy>
  <cp:revision>3</cp:revision>
  <cp:lastPrinted>2020-12-21T16:27:00Z</cp:lastPrinted>
  <dcterms:created xsi:type="dcterms:W3CDTF">2025-02-10T15:48:00Z</dcterms:created>
  <dcterms:modified xsi:type="dcterms:W3CDTF">2025-02-10T15:48:00Z</dcterms:modified>
</cp:coreProperties>
</file>